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1ee95bec2c4369" /><Relationship Type="http://schemas.openxmlformats.org/package/2006/relationships/metadata/core-properties" Target="/package/services/metadata/core-properties/0fc5f0edfec44dbbb583352c964ffb63.psmdcp" Id="Rc10ee582959f491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5e7df61df66e46e0"/>
      <w:footerReference xmlns:r="http://schemas.openxmlformats.org/officeDocument/2006/relationships" w:type="default" r:id="R9951793ef68441d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78dce11e9b340c8" /><Relationship Type="http://schemas.openxmlformats.org/officeDocument/2006/relationships/styles" Target="/word/styles.xml" Id="R1e6bb576a9ff44e3" /><Relationship Type="http://schemas.openxmlformats.org/officeDocument/2006/relationships/settings" Target="/word/settings.xml" Id="R5f54a03d6a2b4fac" /><Relationship Type="http://schemas.openxmlformats.org/officeDocument/2006/relationships/header" Target="/word/header1.xml" Id="R5e7df61df66e46e0" /><Relationship Type="http://schemas.openxmlformats.org/officeDocument/2006/relationships/footer" Target="/word/footer1.xml" Id="R9951793ef68441d9" /></Relationships>
</file>