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a4f7684c384c70" /><Relationship Type="http://schemas.openxmlformats.org/package/2006/relationships/metadata/core-properties" Target="/package/services/metadata/core-properties/5f8407fe85b24c79950b75251d58202d.psmdcp" Id="R6b21596eb6f54a59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67ab619b93d941da"/>
      <w:footerReference xmlns:r="http://schemas.openxmlformats.org/officeDocument/2006/relationships" w:type="default" r:id="R6b02aa0ecfa14ea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1fa739154ea4b6d" /><Relationship Type="http://schemas.openxmlformats.org/officeDocument/2006/relationships/styles" Target="/word/styles.xml" Id="Rc5fdac77d0864ed5" /><Relationship Type="http://schemas.openxmlformats.org/officeDocument/2006/relationships/settings" Target="/word/settings.xml" Id="R45ffc67829774817" /><Relationship Type="http://schemas.openxmlformats.org/officeDocument/2006/relationships/header" Target="/word/header1.xml" Id="R67ab619b93d941da" /><Relationship Type="http://schemas.openxmlformats.org/officeDocument/2006/relationships/footer" Target="/word/footer1.xml" Id="R6b02aa0ecfa14ea7" /></Relationships>
</file>