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1fbcf0ce634bac" /><Relationship Type="http://schemas.openxmlformats.org/package/2006/relationships/metadata/core-properties" Target="/package/services/metadata/core-properties/1c597466bf6e4d0daf8dff99e1ec8824.psmdcp" Id="R606d143ff6f6442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868a09653d6e4c53"/>
      <w:footerReference xmlns:r="http://schemas.openxmlformats.org/officeDocument/2006/relationships" w:type="default" r:id="Rff363013fa8c471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70a0db630f4d8a" /><Relationship Type="http://schemas.openxmlformats.org/officeDocument/2006/relationships/styles" Target="/word/styles.xml" Id="R8840db89e8ad4f90" /><Relationship Type="http://schemas.openxmlformats.org/officeDocument/2006/relationships/settings" Target="/word/settings.xml" Id="R554c5e3b9bc84ffd" /><Relationship Type="http://schemas.openxmlformats.org/officeDocument/2006/relationships/header" Target="/word/header1.xml" Id="R868a09653d6e4c53" /><Relationship Type="http://schemas.openxmlformats.org/officeDocument/2006/relationships/footer" Target="/word/footer1.xml" Id="Rff363013fa8c4715" /></Relationships>
</file>