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d7f240b08d4b08" /><Relationship Type="http://schemas.openxmlformats.org/package/2006/relationships/metadata/core-properties" Target="/package/services/metadata/core-properties/aef92291e9154d11ad1eb78e6304321e.psmdcp" Id="R450ace17185d47b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d325d7dc70bd4721"/>
      <w:footerReference xmlns:r="http://schemas.openxmlformats.org/officeDocument/2006/relationships" w:type="default" r:id="Ra2c94842c8c340b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960e6080cb24c9e" /><Relationship Type="http://schemas.openxmlformats.org/officeDocument/2006/relationships/styles" Target="/word/styles.xml" Id="R9f55efbd186d421f" /><Relationship Type="http://schemas.openxmlformats.org/officeDocument/2006/relationships/settings" Target="/word/settings.xml" Id="Rdc8d89de8437451c" /><Relationship Type="http://schemas.openxmlformats.org/officeDocument/2006/relationships/header" Target="/word/header1.xml" Id="Rd325d7dc70bd4721" /><Relationship Type="http://schemas.openxmlformats.org/officeDocument/2006/relationships/footer" Target="/word/footer1.xml" Id="Ra2c94842c8c340b1" /></Relationships>
</file>