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cfd7cbecc5945dc" /><Relationship Type="http://schemas.openxmlformats.org/package/2006/relationships/metadata/core-properties" Target="/package/services/metadata/core-properties/1326311dc5914ac8bda47610da330868.psmdcp" Id="R4b3e0d9adeb24492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43333325bbe142c9"/>
      <w:footerReference xmlns:r="http://schemas.openxmlformats.org/officeDocument/2006/relationships" w:type="default" r:id="R97a6c05f2845406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8754edc1e2a4266" /><Relationship Type="http://schemas.openxmlformats.org/officeDocument/2006/relationships/styles" Target="/word/styles.xml" Id="R96a4d9df3b7c4b1f" /><Relationship Type="http://schemas.openxmlformats.org/officeDocument/2006/relationships/settings" Target="/word/settings.xml" Id="R3fb82eac40a7496f" /><Relationship Type="http://schemas.openxmlformats.org/officeDocument/2006/relationships/header" Target="/word/header1.xml" Id="R43333325bbe142c9" /><Relationship Type="http://schemas.openxmlformats.org/officeDocument/2006/relationships/footer" Target="/word/footer1.xml" Id="R97a6c05f2845406f" /></Relationships>
</file>