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7b3e45ee714ef1" /><Relationship Type="http://schemas.openxmlformats.org/package/2006/relationships/metadata/core-properties" Target="/package/services/metadata/core-properties/0d4b5d9cf64245c4a33ee948bd06e606.psmdcp" Id="R81c00e515d14406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48f9a2d91e1417f"/>
      <w:footerReference xmlns:r="http://schemas.openxmlformats.org/officeDocument/2006/relationships" w:type="default" r:id="Rcd6a52afb81d45e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548943699e84399" /><Relationship Type="http://schemas.openxmlformats.org/officeDocument/2006/relationships/styles" Target="/word/styles.xml" Id="R63e54473b8e24e54" /><Relationship Type="http://schemas.openxmlformats.org/officeDocument/2006/relationships/settings" Target="/word/settings.xml" Id="R98161f8b174a408c" /><Relationship Type="http://schemas.openxmlformats.org/officeDocument/2006/relationships/header" Target="/word/header1.xml" Id="Rd48f9a2d91e1417f" /><Relationship Type="http://schemas.openxmlformats.org/officeDocument/2006/relationships/footer" Target="/word/footer1.xml" Id="Rcd6a52afb81d45ef" /></Relationships>
</file>