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Design: Guest Portal BFF Architecture and Incremental Migration Strategy</w:t>
      </w:r>
    </w:p>
    <w:p>
      <w:pPr>
        <w:pStyle w:val="Heading1"/>
      </w:pPr>
      <w:r>
        <w:t>1. Executive Summary &amp; Context</w:t>
      </w:r>
    </w:p>
    <w:p>
      <w:r>
        <w:t>This document outlines the architectural transition of the Guest Portal from a monolithic direct-to-database pattern to a modernized Backend-for-Frontend (BFF) approach. Historically, the Guest Portal relied on thick client-side logic to aggregate data directly from our primary datastores. To resolve this, we are introducing a thin UI layer supported by localized BFF read-models.</w:t>
      </w:r>
    </w:p>
    <w:p>
      <w:pPr>
        <w:pStyle w:val="Heading1"/>
      </w:pPr>
      <w:r>
        <w:t>2. Architectural Goals &amp; Constraints</w:t>
      </w:r>
    </w:p>
    <w:p>
      <w:pPr>
        <w:pStyle w:val="ListBullet"/>
      </w:pPr>
      <w:r>
        <w:rPr>
          <w:b/>
        </w:rPr>
        <w:t xml:space="preserve">Strict Boundary Enforcement: </w:t>
      </w:r>
      <w:r>
        <w:t>The Guest Portal's BFF handlers must not bypass the core API gateway. The gateway remains the single source of truth.</w:t>
      </w:r>
    </w:p>
    <w:p>
      <w:pPr>
        <w:pStyle w:val="ListBullet"/>
      </w:pPr>
      <w:r>
        <w:rPr>
          <w:b/>
        </w:rPr>
        <w:t xml:space="preserve">Standardized Flat Envelopes: </w:t>
      </w:r>
      <w:r>
        <w:t>Every new BFF endpoint must strictly adhere to our unified response envelope: { ok, data, error, meta }. All error envelopes are flat across the entire stack.</w:t>
      </w:r>
    </w:p>
    <w:p>
      <w:pPr>
        <w:pStyle w:val="ListBullet"/>
      </w:pPr>
      <w:r>
        <w:rPr>
          <w:b/>
        </w:rPr>
        <w:t xml:space="preserve">Compare-and-Set Durability: </w:t>
      </w:r>
      <w:r>
        <w:t>All state mutations implement compare-and-set transactions (e.g., verifying expectedVersion) to prevent lost updates during concurrent checkout flows.</w:t>
      </w:r>
    </w:p>
    <w:p>
      <w:pPr>
        <w:pStyle w:val="Heading1"/>
      </w:pPr>
      <w:r>
        <w:t>3. System Design: The BFF Pattern</w:t>
      </w:r>
    </w:p>
    <w:p>
      <w:r>
        <w:t>The localized BFF layer is built directly into the Next.js application using standard API route handlers under app/api/app/*. Behind the scenes, the BFF handler validates the incoming request DTO using Zod. Once validated, it orchestrates calls to the backend API Gateway.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02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2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High-level request flow through the BFF and API Gateway layers.</w:t>
      </w:r>
    </w:p>
    <w:p>
      <w:pPr>
        <w:pStyle w:val="Heading1"/>
      </w:pPr>
      <w:r>
        <w:t>4. Data Flow &amp; Transactional Integrity</w:t>
      </w:r>
    </w:p>
    <w:p>
      <w:r>
        <w:t>For complex flows such as guest checkout and ticket reservation, we implement a Transactional Outbox pattern alongside Compare-and-Set lock TTLs. Every order creation runs strictly inside a Firestore runTransaction block, persisting the business write and outbox event atomically.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34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di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4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Transactional Checkout Flow.</w:t>
      </w:r>
    </w:p>
    <w:p>
      <w:pPr>
        <w:pStyle w:val="Heading1"/>
      </w:pPr>
      <w:r>
        <w:t>5. Edge Cases, Failure Modes, and Mitigation</w:t>
      </w:r>
    </w:p>
    <w:p>
      <w:pPr>
        <w:pStyle w:val="ListBullet"/>
      </w:pPr>
      <w:r>
        <w:rPr>
          <w:b/>
        </w:rPr>
        <w:t xml:space="preserve">Policy Ordering: </w:t>
      </w:r>
      <w:r>
        <w:t>Middleware strictly executes in order: rate-limit -&gt; validate -&gt; authorize -&gt; cache. This ensures malformed DTOs are rejected with 422 before ABAC authorization logic wastes DB reads.</w:t>
      </w:r>
    </w:p>
    <w:p>
      <w:pPr>
        <w:pStyle w:val="ListBullet"/>
      </w:pPr>
      <w:r>
        <w:rPr>
          <w:b/>
        </w:rPr>
        <w:t xml:space="preserve">Gateway Latency Spikes: </w:t>
      </w:r>
      <w:r>
        <w:t>If the upstream API Gateway experiences degraded performance, the BFF layer enforces strict 5-second timeout policies for read operations.</w:t>
      </w:r>
    </w:p>
    <w:p>
      <w:pPr>
        <w:pStyle w:val="Heading1"/>
      </w:pPr>
      <w:r>
        <w:t>6. Migration Strategy &amp; Rollout Plan</w:t>
      </w:r>
    </w:p>
    <w:p>
      <w:r>
        <w:t>During Phase 1, the new BFF endpoints will be deployed to production in 'shadow mode'. Once parity is achieved and error rates drop below our 0.1% threshold, Phase 2 will involve a gradual traffic shift, starting with 5% of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