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Commune de Katzenthal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1, Place de l'Ecole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68230 KATZENTHAL</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Mise en accessibilité de la Mairie de Katzenthal</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03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03  : Plâtrerie - Isolation</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