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Commune de Michelbach Le Haut
                <w:br/>
                Mairie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test</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2 Gros-oeuvre</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
          Commune de Michelbach Le Haut
          <w:br/>
          Mairie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3, rue de l'Ecole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68220 Michelbach Le Haut</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test</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test</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test</w:t>
      </w:r>
      <w:r w:rsidR="00AC1DE9">
        <w:rPr>
          <w:rFonts w:ascii="Arial" w:hAnsi="Arial" w:cs="Arial"/>
          <w:b/>
          <w:bCs/>
        </w:rPr>
        <w:t xml:space="preserve"> </w:t>
      </w:r>
      <w:r w:rsidRPr="00916381">
        <w:rPr>
          <w:sz w:val="24"/>
        </w:rPr>
        <w:t xml:space="preserve">pour le </w:t>
      </w:r>
      <w:r w:rsidR="00AC1DE9">
        <w:rPr>
          <w:sz w:val="24"/>
        </w:rPr>
        <w:t>lot n°2 Gros-oeuvre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bookmarkStart w:id="0" w:name="_GoBack"/>
      <w:bookmarkEnd w:id="0"/>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29-11-2016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AB" w:rsidRDefault="002142AB" w:rsidP="003001B0">
      <w:pPr>
        <w:spacing w:after="0" w:line="240" w:lineRule="auto"/>
      </w:pPr>
      <w:r>
        <w:separator/>
      </w:r>
    </w:p>
  </w:endnote>
  <w:endnote w:type="continuationSeparator" w:id="0">
    <w:p w:rsidR="002142AB" w:rsidRDefault="002142A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AB" w:rsidRDefault="002142AB" w:rsidP="003001B0">
      <w:pPr>
        <w:spacing w:after="0" w:line="240" w:lineRule="auto"/>
      </w:pPr>
      <w:r>
        <w:separator/>
      </w:r>
    </w:p>
  </w:footnote>
  <w:footnote w:type="continuationSeparator" w:id="0">
    <w:p w:rsidR="002142AB" w:rsidRDefault="002142A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4881880</wp:posOffset>
          </wp:positionH>
          <wp:positionV relativeFrom="paragraph">
            <wp:posOffset>86675</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F7EF0CCB-F9F9-485E-897C-69D5CF6C0996}" type="presOf" srcId="{1525450F-14B7-46DE-A860-E04A5F79183C}" destId="{0591BD86-ACD4-4D3F-A8AD-81816FB2BFC3}" srcOrd="0" destOrd="0" presId="urn:microsoft.com/office/officeart/2005/8/layout/orgChart1"/>
    <dgm:cxn modelId="{955F96AF-9D5D-4DB4-ACD7-177C48F5EF27}" type="presOf" srcId="{FB4423F3-7854-48D4-A0BD-5DE1927204C4}" destId="{78B6C60A-B076-4F58-9335-6750215BEA1F}" srcOrd="0" destOrd="0" presId="urn:microsoft.com/office/officeart/2005/8/layout/orgChart1"/>
    <dgm:cxn modelId="{6F61697D-373A-457F-AAF7-2A1DB56DC74A}" type="presOf" srcId="{1511060A-DFC6-49F7-B64E-8783FAEF95CE}" destId="{33EEF373-7CDD-421E-9BBB-02B51908EA8D}" srcOrd="0" destOrd="0" presId="urn:microsoft.com/office/officeart/2005/8/layout/orgChart1"/>
    <dgm:cxn modelId="{DBC0C41D-36D4-43D4-A90C-A152FB061769}" type="presOf" srcId="{A1ED391D-FB97-4213-927A-46E826311BCA}" destId="{D337260D-356F-49ED-99A3-5348721344AC}" srcOrd="1"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8F5871E5-B463-4571-B2C2-51ED782CCE7B}" type="presOf" srcId="{C1CD305F-D08F-4621-9381-5A0FF6AC52CE}" destId="{D607A8CB-B9E0-42D9-A9B2-DD613D7D1084}" srcOrd="0" destOrd="0" presId="urn:microsoft.com/office/officeart/2005/8/layout/orgChart1"/>
    <dgm:cxn modelId="{55617274-0BA1-458E-A288-AC13566A29F3}" type="presOf" srcId="{1511060A-DFC6-49F7-B64E-8783FAEF95CE}" destId="{B56D7DBF-C4E8-4847-9D1A-E9180F317A69}" srcOrd="1" destOrd="0" presId="urn:microsoft.com/office/officeart/2005/8/layout/orgChart1"/>
    <dgm:cxn modelId="{05FF12FD-7BD8-4BE4-AF21-807C439CAF6F}" type="presOf" srcId="{701F34E6-1579-412F-A0C2-04BE8682257E}" destId="{76DB755E-323B-48AE-918F-CC46897E47C1}" srcOrd="1" destOrd="0" presId="urn:microsoft.com/office/officeart/2005/8/layout/orgChart1"/>
    <dgm:cxn modelId="{CF86F0A0-91DE-4D0A-84BD-0688BB4BC65E}" type="presOf" srcId="{BB6FC14B-D562-47AC-B049-480538D6A521}" destId="{90EBC7A0-535E-4D96-93E8-F5F783DC1FC0}" srcOrd="1" destOrd="0" presId="urn:microsoft.com/office/officeart/2005/8/layout/orgChart1"/>
    <dgm:cxn modelId="{24DB267D-8638-4024-80CC-120869FC723A}" type="presOf" srcId="{0910181F-172B-4CFD-A97B-252F2A844C7A}" destId="{E49FC453-B35F-4120-AC16-4AEA685E35AE}" srcOrd="1" destOrd="0" presId="urn:microsoft.com/office/officeart/2005/8/layout/orgChart1"/>
    <dgm:cxn modelId="{5E1A15CA-7D12-415A-AC88-23B89E08AD11}" type="presOf" srcId="{0910181F-172B-4CFD-A97B-252F2A844C7A}" destId="{6AB62757-9301-4F34-AED9-47F8AFBE9B1D}" srcOrd="0" destOrd="0" presId="urn:microsoft.com/office/officeart/2005/8/layout/orgChart1"/>
    <dgm:cxn modelId="{6E150A7E-582F-4D8B-932D-DE9B82C4E924}" type="presOf" srcId="{B2E2769A-0004-4312-93B7-DFCF3931379D}" destId="{5BD2841E-5DF9-46F6-A7AE-8A368804DE6F}"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587EB804-5AE4-42B8-84DA-2A904C0BE178}" type="presOf" srcId="{701F34E6-1579-412F-A0C2-04BE8682257E}" destId="{81C49F11-0B27-4BB1-ADA1-3BFF8221D11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077EE861-22BB-48E5-88CD-0178A13B6134}" type="presOf" srcId="{BB6FC14B-D562-47AC-B049-480538D6A521}" destId="{39649BB3-4AAC-4327-A2C6-1129989AABBC}"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653A80B1-8259-4380-974F-B6A31A78749A}" type="presOf" srcId="{A1ED391D-FB97-4213-927A-46E826311BCA}" destId="{292D5749-1420-4E22-8580-809CB2EC0E9E}" srcOrd="0" destOrd="0" presId="urn:microsoft.com/office/officeart/2005/8/layout/orgChart1"/>
    <dgm:cxn modelId="{C57FE4DC-05EE-41AE-9620-31A8C9413BAF}" type="presParOf" srcId="{D607A8CB-B9E0-42D9-A9B2-DD613D7D1084}" destId="{AB0CB566-2ED4-4CE1-91B9-F8B039BF8268}" srcOrd="0" destOrd="0" presId="urn:microsoft.com/office/officeart/2005/8/layout/orgChart1"/>
    <dgm:cxn modelId="{B65D4561-ACE8-4907-82F1-F6CC61947C79}" type="presParOf" srcId="{AB0CB566-2ED4-4CE1-91B9-F8B039BF8268}" destId="{DCE117AC-DC3A-483A-96D2-3026C751AF9F}" srcOrd="0" destOrd="0" presId="urn:microsoft.com/office/officeart/2005/8/layout/orgChart1"/>
    <dgm:cxn modelId="{2B248F48-6029-4620-AC08-D1BA0926D834}" type="presParOf" srcId="{DCE117AC-DC3A-483A-96D2-3026C751AF9F}" destId="{33EEF373-7CDD-421E-9BBB-02B51908EA8D}" srcOrd="0" destOrd="0" presId="urn:microsoft.com/office/officeart/2005/8/layout/orgChart1"/>
    <dgm:cxn modelId="{78831786-32A5-4F16-95C8-A6D204C50382}" type="presParOf" srcId="{DCE117AC-DC3A-483A-96D2-3026C751AF9F}" destId="{B56D7DBF-C4E8-4847-9D1A-E9180F317A69}" srcOrd="1" destOrd="0" presId="urn:microsoft.com/office/officeart/2005/8/layout/orgChart1"/>
    <dgm:cxn modelId="{384BFA21-D4C4-410C-8973-77B17E1576C3}" type="presParOf" srcId="{AB0CB566-2ED4-4CE1-91B9-F8B039BF8268}" destId="{4E72789B-C9A3-4880-AA02-8F2C4792FFC2}" srcOrd="1" destOrd="0" presId="urn:microsoft.com/office/officeart/2005/8/layout/orgChart1"/>
    <dgm:cxn modelId="{7DC4FE7E-0E9F-4043-9CCB-A267BB9E0135}" type="presParOf" srcId="{AB0CB566-2ED4-4CE1-91B9-F8B039BF8268}" destId="{6D35458C-D80B-4879-A298-7927582B4AD1}" srcOrd="2" destOrd="0" presId="urn:microsoft.com/office/officeart/2005/8/layout/orgChart1"/>
    <dgm:cxn modelId="{F45C930D-A563-4E94-8070-BC4CDC16469E}" type="presParOf" srcId="{D607A8CB-B9E0-42D9-A9B2-DD613D7D1084}" destId="{4DED0CDF-F1A0-4F28-8682-D07CA42971E6}" srcOrd="1" destOrd="0" presId="urn:microsoft.com/office/officeart/2005/8/layout/orgChart1"/>
    <dgm:cxn modelId="{46622F8C-D56B-44A4-88CE-D7FA510F26C9}" type="presParOf" srcId="{4DED0CDF-F1A0-4F28-8682-D07CA42971E6}" destId="{7031E179-658E-4BC6-91ED-CA755253F381}" srcOrd="0" destOrd="0" presId="urn:microsoft.com/office/officeart/2005/8/layout/orgChart1"/>
    <dgm:cxn modelId="{B899AD85-D515-43E7-A640-CBB2C730F14F}" type="presParOf" srcId="{7031E179-658E-4BC6-91ED-CA755253F381}" destId="{6AB62757-9301-4F34-AED9-47F8AFBE9B1D}" srcOrd="0" destOrd="0" presId="urn:microsoft.com/office/officeart/2005/8/layout/orgChart1"/>
    <dgm:cxn modelId="{0B216E0C-A9B4-4202-B11A-D6C215AAF806}" type="presParOf" srcId="{7031E179-658E-4BC6-91ED-CA755253F381}" destId="{E49FC453-B35F-4120-AC16-4AEA685E35AE}" srcOrd="1" destOrd="0" presId="urn:microsoft.com/office/officeart/2005/8/layout/orgChart1"/>
    <dgm:cxn modelId="{BF2BFC33-B316-43D1-8C36-8EE7F8BBAA0B}" type="presParOf" srcId="{4DED0CDF-F1A0-4F28-8682-D07CA42971E6}" destId="{7058E691-8840-4747-9F99-9F326F958422}" srcOrd="1" destOrd="0" presId="urn:microsoft.com/office/officeart/2005/8/layout/orgChart1"/>
    <dgm:cxn modelId="{9652177E-3E30-436C-B384-1666BBA87580}" type="presParOf" srcId="{4DED0CDF-F1A0-4F28-8682-D07CA42971E6}" destId="{F49AA67B-ED3F-42B1-B282-9C8818CE1E3D}" srcOrd="2" destOrd="0" presId="urn:microsoft.com/office/officeart/2005/8/layout/orgChart1"/>
    <dgm:cxn modelId="{5837E613-D432-4024-9F1F-9B71F0CA7EAE}" type="presParOf" srcId="{F49AA67B-ED3F-42B1-B282-9C8818CE1E3D}" destId="{0591BD86-ACD4-4D3F-A8AD-81816FB2BFC3}" srcOrd="0" destOrd="0" presId="urn:microsoft.com/office/officeart/2005/8/layout/orgChart1"/>
    <dgm:cxn modelId="{85DF4243-DA02-479F-88D0-EF8281B5563C}" type="presParOf" srcId="{F49AA67B-ED3F-42B1-B282-9C8818CE1E3D}" destId="{11DCA349-A56E-439A-9A71-EB5ED7934C16}" srcOrd="1" destOrd="0" presId="urn:microsoft.com/office/officeart/2005/8/layout/orgChart1"/>
    <dgm:cxn modelId="{80659927-B9CD-43B0-B855-B31CCAA07064}" type="presParOf" srcId="{11DCA349-A56E-439A-9A71-EB5ED7934C16}" destId="{AED54592-8963-4A46-92D4-1F040D6202AA}" srcOrd="0" destOrd="0" presId="urn:microsoft.com/office/officeart/2005/8/layout/orgChart1"/>
    <dgm:cxn modelId="{9C6C1AA5-8FA4-44E1-8034-C5F72289FBB2}" type="presParOf" srcId="{AED54592-8963-4A46-92D4-1F040D6202AA}" destId="{81C49F11-0B27-4BB1-ADA1-3BFF8221D113}" srcOrd="0" destOrd="0" presId="urn:microsoft.com/office/officeart/2005/8/layout/orgChart1"/>
    <dgm:cxn modelId="{6BF5244F-B76F-425A-B83E-8758FAF8093A}" type="presParOf" srcId="{AED54592-8963-4A46-92D4-1F040D6202AA}" destId="{76DB755E-323B-48AE-918F-CC46897E47C1}" srcOrd="1" destOrd="0" presId="urn:microsoft.com/office/officeart/2005/8/layout/orgChart1"/>
    <dgm:cxn modelId="{5DC967C2-8EA1-4845-A0A0-09C527429676}" type="presParOf" srcId="{11DCA349-A56E-439A-9A71-EB5ED7934C16}" destId="{4279D840-4D94-4793-B6E2-0E03611372A4}" srcOrd="1" destOrd="0" presId="urn:microsoft.com/office/officeart/2005/8/layout/orgChart1"/>
    <dgm:cxn modelId="{24A90C7F-57E1-4A04-8008-180B358FF0CE}" type="presParOf" srcId="{11DCA349-A56E-439A-9A71-EB5ED7934C16}" destId="{2CB14C93-0D2B-49A3-9111-13D291FF25D4}" srcOrd="2" destOrd="0" presId="urn:microsoft.com/office/officeart/2005/8/layout/orgChart1"/>
    <dgm:cxn modelId="{46CB06ED-E455-41AA-BD2A-7E83F4847FD8}" type="presParOf" srcId="{2CB14C93-0D2B-49A3-9111-13D291FF25D4}" destId="{5BD2841E-5DF9-46F6-A7AE-8A368804DE6F}" srcOrd="0" destOrd="0" presId="urn:microsoft.com/office/officeart/2005/8/layout/orgChart1"/>
    <dgm:cxn modelId="{5B1F02AA-30C4-4390-A02B-CA64C3AAB33E}" type="presParOf" srcId="{2CB14C93-0D2B-49A3-9111-13D291FF25D4}" destId="{63DCB0DF-1BA6-40E2-B6AA-4B0130C13AF2}" srcOrd="1" destOrd="0" presId="urn:microsoft.com/office/officeart/2005/8/layout/orgChart1"/>
    <dgm:cxn modelId="{80029D81-FD7D-4CA1-8368-D32D79609069}" type="presParOf" srcId="{63DCB0DF-1BA6-40E2-B6AA-4B0130C13AF2}" destId="{087FB3CC-7C02-4811-B8D6-1EA933568DFF}" srcOrd="0" destOrd="0" presId="urn:microsoft.com/office/officeart/2005/8/layout/orgChart1"/>
    <dgm:cxn modelId="{67ED918A-111D-4B4B-844F-A310D3CCE101}" type="presParOf" srcId="{087FB3CC-7C02-4811-B8D6-1EA933568DFF}" destId="{292D5749-1420-4E22-8580-809CB2EC0E9E}" srcOrd="0" destOrd="0" presId="urn:microsoft.com/office/officeart/2005/8/layout/orgChart1"/>
    <dgm:cxn modelId="{A4A42DEE-23E9-40D4-89EB-9D812BBFF10F}" type="presParOf" srcId="{087FB3CC-7C02-4811-B8D6-1EA933568DFF}" destId="{D337260D-356F-49ED-99A3-5348721344AC}" srcOrd="1" destOrd="0" presId="urn:microsoft.com/office/officeart/2005/8/layout/orgChart1"/>
    <dgm:cxn modelId="{469D990F-496A-4E15-9527-AECCEF4230D5}" type="presParOf" srcId="{63DCB0DF-1BA6-40E2-B6AA-4B0130C13AF2}" destId="{C11211F6-C620-4A5C-B1EB-E268A67A299D}" srcOrd="1" destOrd="0" presId="urn:microsoft.com/office/officeart/2005/8/layout/orgChart1"/>
    <dgm:cxn modelId="{4870E88D-0249-4F51-913D-A137C962EC62}" type="presParOf" srcId="{63DCB0DF-1BA6-40E2-B6AA-4B0130C13AF2}" destId="{4853F2C4-458B-496A-B8EC-C168939053A9}" srcOrd="2" destOrd="0" presId="urn:microsoft.com/office/officeart/2005/8/layout/orgChart1"/>
    <dgm:cxn modelId="{5DA08E11-664A-4C74-8380-7965BC94A62F}" type="presParOf" srcId="{4853F2C4-458B-496A-B8EC-C168939053A9}" destId="{78B6C60A-B076-4F58-9335-6750215BEA1F}" srcOrd="0" destOrd="0" presId="urn:microsoft.com/office/officeart/2005/8/layout/orgChart1"/>
    <dgm:cxn modelId="{7EF2A913-5562-4317-BB59-F9AB60439CF6}" type="presParOf" srcId="{4853F2C4-458B-496A-B8EC-C168939053A9}" destId="{E4252415-4EAD-49AF-801B-6D806B813351}" srcOrd="1" destOrd="0" presId="urn:microsoft.com/office/officeart/2005/8/layout/orgChart1"/>
    <dgm:cxn modelId="{E383DCF1-91A5-4676-810A-1B0E4C2B49FB}" type="presParOf" srcId="{E4252415-4EAD-49AF-801B-6D806B813351}" destId="{6938444B-2D82-4EB0-A052-9834B409E489}" srcOrd="0" destOrd="0" presId="urn:microsoft.com/office/officeart/2005/8/layout/orgChart1"/>
    <dgm:cxn modelId="{0ACA28F3-AFAD-4303-990F-3DF145E45DCE}" type="presParOf" srcId="{6938444B-2D82-4EB0-A052-9834B409E489}" destId="{39649BB3-4AAC-4327-A2C6-1129989AABBC}" srcOrd="0" destOrd="0" presId="urn:microsoft.com/office/officeart/2005/8/layout/orgChart1"/>
    <dgm:cxn modelId="{E1869F6A-6BC7-467D-992A-07DEFA7A68E4}" type="presParOf" srcId="{6938444B-2D82-4EB0-A052-9834B409E489}" destId="{90EBC7A0-535E-4D96-93E8-F5F783DC1FC0}" srcOrd="1" destOrd="0" presId="urn:microsoft.com/office/officeart/2005/8/layout/orgChart1"/>
    <dgm:cxn modelId="{6F9F4D3C-E997-419B-8D54-5149C061AD6A}" type="presParOf" srcId="{E4252415-4EAD-49AF-801B-6D806B813351}" destId="{0C74BEA6-F58E-4670-9B65-B43AAABCA0F6}" srcOrd="1" destOrd="0" presId="urn:microsoft.com/office/officeart/2005/8/layout/orgChart1"/>
    <dgm:cxn modelId="{7C40C064-CF92-4301-9FF6-9C87ABA5B64B}"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E966-AE50-44B8-BF2A-096EF480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17</cp:revision>
  <cp:lastPrinted>2013-03-05T17:29:00Z</cp:lastPrinted>
  <dcterms:created xsi:type="dcterms:W3CDTF">2016-10-03T10:13:00Z</dcterms:created>
  <dcterms:modified xsi:type="dcterms:W3CDTF">2016-10-27T13:52:00Z</dcterms:modified>
</cp:coreProperties>
</file>