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001B4F"/>
          <w:sz w:val="52"/>
          <w:szCs w:val="52"/>
        </w:rPr>
        <w:t xml:space="preserve">BMW GROUP</w:t>
      </w:r>
    </w:p>
    <w:p>
      <w:pPr>
        <w:spacing w:before="0" w:after="80"/>
      </w:pPr>
      <w:r>
        <w:rPr>
          <w:rFonts w:ascii="Arial" w:cs="Arial" w:eastAsia="Arial" w:hAnsi="Arial"/>
          <w:color w:val="2C5F99"/>
          <w:sz w:val="36"/>
          <w:szCs w:val="36"/>
        </w:rPr>
        <w:t xml:space="preserve">Global Sales Intelligence Report</w:t>
      </w:r>
    </w:p>
    <w:p>
      <w:pPr>
        <w:pBdr>
          <w:bottom w:val="single" w:color="001B4F" w:sz="12" w:space="6"/>
        </w:pBdr>
        <w:spacing w:before="0" w:after="3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2018 – 2025  |  Multi-Region  |  8 Model Lines  |  3,072 Records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C5F9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1B4F"/>
          <w:sz w:val="36"/>
          <w:szCs w:val="36"/>
        </w:rPr>
        <w:t xml:space="preserve">Overview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workbook contains a structured analysis of BMW Group's global sales performance across 8 years (2018–2025), 4 regions, and 8 model lines. It was built to surface the kind of insights that matter to a business analyst or strategy team — not just what happened, but why it matters and what it signals going forward.</w:t>
      </w:r>
    </w:p>
    <w:p>
      <w:pPr>
        <w:spacing w:before="0" w:after="5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dataset covers 3,072 monthly observations spanning Europe, China, USA, and Rest of World, with metrics including units sold, revenue, average price, BEV share, GDP growth, and fuel price index.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C5F9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1B4F"/>
          <w:sz w:val="36"/>
          <w:szCs w:val="36"/>
        </w:rPr>
        <w:t xml:space="preserve">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What's In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1B4F"/>
                <w:sz w:val="18"/>
                <w:szCs w:val="18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Executive summary — KPI cards, annual trend table, regional breakdown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1B4F"/>
                <w:sz w:val="18"/>
                <w:szCs w:val="18"/>
              </w:rPr>
              <w:t xml:space="preserve">Annual KPIs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Full year-by-year detail: revenue, volume, pricing, BEV share, macro indicators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1B4F"/>
                <w:sz w:val="18"/>
                <w:szCs w:val="18"/>
              </w:rPr>
              <w:t xml:space="preserve">Regional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Units sold and revenue (€M) by region across all 8 years, with auto-summing totals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1B4F"/>
                <w:sz w:val="18"/>
                <w:szCs w:val="18"/>
              </w:rPr>
              <w:t xml:space="preserve">Model Mix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Unit sales per model line (color-coded by category) + BEV share by region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1B4F"/>
                <w:sz w:val="18"/>
                <w:szCs w:val="18"/>
              </w:rPr>
              <w:t xml:space="preserve">Raw 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All 3,072 records with proper formatting and frozen headers for filtering/pivoting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1B4F"/>
                <w:sz w:val="18"/>
                <w:szCs w:val="18"/>
              </w:rPr>
              <w:t xml:space="preserve">Insights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 analyst findings written as a reference card for stakeholder communication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C5F9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1B4F"/>
          <w:sz w:val="36"/>
          <w:szCs w:val="36"/>
        </w:rPr>
        <w:t xml:space="preserve">Dataset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Calendar year (2018–2025)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Month number (1–12)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Europe, China, USA, RestOfWorld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 Series, 5 Series, X3, X5, X7, i4, iX, MINI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Units_Sold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Monthly units sold per model-region cell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Avg_Price_EUR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Average transaction price in 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Revenue_EUR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Total revenue (Units × Avg Price)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BEV_Share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Battery electric vehicle share of total sales (0–1)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Premium_Share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Premium segment share (0–1)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GDP_Growth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Regional GDP growth rate (%)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Fuel_Price_Index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Indexed fuel price (base = 1.0 in Jan 2018)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C5F9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1B4F"/>
          <w:sz w:val="36"/>
          <w:szCs w:val="36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"/>
        <w:gridCol w:w="9160"/>
      </w:tblGrid>
      <w:tr>
        <w:tc>
          <w:tcPr>
            <w:tcW w:type="dxa" w:w="2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PRICING POWER EROSION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C0392B"/>
                <w:sz w:val="18"/>
                <w:szCs w:val="18"/>
              </w:rPr>
              <w:t xml:space="preserve">Key metric: €63,843 → €63,826 avg price/unit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Revenue per unit is flat across 7 years despite 20%+ cumulative European inflation. BMW grew entirely through volume, not pricing — a red flag for a self-described premium brand.</w:t>
            </w:r>
          </w:p>
        </w:tc>
      </w:tr>
    </w:tbl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"/>
        <w:gridCol w:w="9160"/>
      </w:tblGrid>
      <w:tr>
        <w:tc>
          <w:tcPr>
            <w:tcW w:type="dxa" w:w="2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99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99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VOLUME-LED REVENUE GROWTH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C5F99"/>
                <w:sz w:val="18"/>
                <w:szCs w:val="18"/>
              </w:rPr>
              <w:t xml:space="preserve">Key metric: +21.6% units, +21.9% revenue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Near-identical growth rates in units and revenue confirm pricing contributed zero to top-line growth. Every euro of growth came from selling more cars.</w:t>
            </w:r>
          </w:p>
        </w:tc>
      </w:tr>
    </w:tbl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"/>
        <w:gridCol w:w="9160"/>
      </w:tblGrid>
      <w:tr>
        <w:tc>
          <w:tcPr>
            <w:tcW w:type="dxa" w:w="2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5A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A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BEV ADOPTION: STRUCTURAL SHIFT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7A5A"/>
                <w:sz w:val="18"/>
                <w:szCs w:val="18"/>
              </w:rPr>
              <w:t xml:space="preserve">Key metric: 2.1% → 19.4% share (2018–2025)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BEV share grew ~10x over 7 years — ~2.5pp per year. At this linear pace, BEV will exceed 30% by 2029. China iX is the single biggest volume driver in 2025.</w:t>
            </w:r>
          </w:p>
        </w:tc>
      </w:tr>
    </w:tbl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"/>
        <w:gridCol w:w="9160"/>
      </w:tblGrid>
      <w:tr>
        <w:tc>
          <w:tcPr>
            <w:tcW w:type="dxa" w:w="2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2019: THE ONLY DEMAND CONTRACTION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C0392B"/>
                <w:sz w:val="18"/>
                <w:szCs w:val="18"/>
              </w:rPr>
              <w:t xml:space="preserve">Key metric: -0.19% units, -0.13% revenue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Sole year of negative growth. Trade war pressure suppressed China; diesel backlash hurt Europe. A useful stress-test baseline for future macro shocks.</w:t>
            </w:r>
          </w:p>
        </w:tc>
      </w:tr>
    </w:tbl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"/>
        <w:gridCol w:w="9160"/>
      </w:tblGrid>
      <w:tr>
        <w:tc>
          <w:tcPr>
            <w:tcW w:type="dxa" w:w="2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99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99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CHINA–USA MARKET GAP CLOSING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C5F99"/>
                <w:sz w:val="18"/>
                <w:szCs w:val="18"/>
              </w:rPr>
              <w:t xml:space="preserve">Key metric: China 26.4% vs USA 26.0% (2025)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 share grew from 24.7% to 26.0% while China held at 26.4%. Driven by iX and X5 outperformance. At current pace, USA may overtake China by 2027.</w:t>
            </w:r>
          </w:p>
        </w:tc>
      </w:tr>
    </w:tbl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"/>
        <w:gridCol w:w="9160"/>
      </w:tblGrid>
      <w:tr>
        <w:tc>
          <w:tcPr>
            <w:tcW w:type="dxa" w:w="2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5A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A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SUV DEMAND IS A STRUCTURAL FLOOR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7A5A"/>
                <w:sz w:val="18"/>
                <w:szCs w:val="18"/>
              </w:rPr>
              <w:t xml:space="preserve">Key metric: ~38% share — unchanged 7 years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X3+X5+X7 collectively held 38% of volume with near-zero annual variation. A durable preference floor that should anchor capacity planning regardless of EV transitions.</w:t>
            </w:r>
          </w:p>
        </w:tc>
      </w:tr>
    </w:tbl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"/>
        <w:gridCol w:w="9160"/>
      </w:tblGrid>
      <w:tr>
        <w:tc>
          <w:tcPr>
            <w:tcW w:type="dxa" w:w="2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QUARTER-END PUSH IS SYSTEMATIC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C0392B"/>
                <w:sz w:val="18"/>
                <w:szCs w:val="18"/>
              </w:rPr>
              <w:t xml:space="preserve">Key metric: Mar/Jun/Sep/Dec spike ~18% above avg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Every quarter-end month shows a consistent 18% spike — every year without exception. This reflects dealer incentive programs and channel stuffing, not organic consumer demand.</w:t>
            </w:r>
          </w:p>
        </w:tc>
      </w:tr>
    </w:tbl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"/>
        <w:gridCol w:w="9160"/>
      </w:tblGrid>
      <w:tr>
        <w:tc>
          <w:tcPr>
            <w:tcW w:type="dxa" w:w="20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99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99"/>
                <w:sz w:val="20"/>
                <w:szCs w:val="20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CHINA IX: #1 MODEL-REGION COMBO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C5F99"/>
                <w:sz w:val="18"/>
                <w:szCs w:val="18"/>
              </w:rPr>
              <w:t xml:space="preserve">Key metric: China iX: ~136,892 units (2025)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 2018 the top combo was China X5 (~109K units). By 2025, China iX led at ~137K units — a structural shift from ICE SUV to BEV in BMW's largest market.</w:t>
            </w:r>
          </w:p>
        </w:tc>
      </w:tr>
    </w:tbl>
    <w:p>
      <w:pPr>
        <w:spacing w:before="0" w:after="50"/>
      </w:pPr>
      <w:r>
        <w:t xml:space="preserve"/>
      </w:r>
    </w:p>
    <w:p>
      <w:pPr>
        <w:spacing w:before="0" w:after="50"/>
      </w:pPr>
      <w:r>
        <w:t xml:space="preserve"/>
      </w:r>
    </w:p>
    <w:p>
      <w:pPr>
        <w:pStyle w:val="Heading1"/>
        <w:pBdr>
          <w:bottom w:val="single" w:color="2C5F9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1B4F"/>
          <w:sz w:val="36"/>
          <w:szCs w:val="36"/>
        </w:rPr>
        <w:t xml:space="preserve">How to Use This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Recommended Sheet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1B4F"/>
                <w:sz w:val="18"/>
                <w:szCs w:val="18"/>
              </w:rPr>
              <w:t xml:space="preserve">Executive reporting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Dashboard sheet — all key numbers in one place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1B4F"/>
                <w:sz w:val="18"/>
                <w:szCs w:val="18"/>
              </w:rPr>
              <w:t xml:space="preserve">Trend analysis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Annual KPIs — formula-linked columns, add your own YoY/CAGR freely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1B4F"/>
                <w:sz w:val="18"/>
                <w:szCs w:val="18"/>
              </w:rPr>
              <w:t xml:space="preserve">Market strategy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Regional for share shifts; Model Mix for product portfolio trends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1B4F"/>
                <w:sz w:val="18"/>
                <w:szCs w:val="18"/>
              </w:rPr>
              <w:t xml:space="preserve">Further analysis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Raw Data as base — apply filters, PivotTables, or export to Python/R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1B4F"/>
                <w:sz w:val="18"/>
                <w:szCs w:val="18"/>
              </w:rPr>
              <w:t xml:space="preserve">Presentations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Insights as a speaker-notes reference or slide brief source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C5F9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1B4F"/>
          <w:sz w:val="36"/>
          <w:szCs w:val="36"/>
        </w:rPr>
        <w:t xml:space="preserve">Methodology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Revenue is computed as Units_Sold × Avg_Price_EUR — consistent with how it appears in the raw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BEV Share in the summary sheets is an average across all model-region cells for a given year, not a volume-weighted average. For a volume-weighted BEV share, use a SUMPRODUCT formula on the Raw Data sheet.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Regional revenue totals are in € Millions in the Regional sheet for readability. The Raw Data sheet retains full EUR values.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'Rest of World' aggregates all markets outside Europe, China, and the USA.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C5F9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1B4F"/>
          <w:sz w:val="36"/>
          <w:szCs w:val="36"/>
        </w:rPr>
        <w:t xml:space="preserve">Quick Reference — Summary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Units Sold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BEV Share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1B4F"/>
                <w:sz w:val="18"/>
                <w:szCs w:val="18"/>
              </w:rPr>
              <w:t xml:space="preserve">2018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2,765,193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€176.8B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5A"/>
                <w:sz w:val="18"/>
                <w:szCs w:val="18"/>
              </w:rPr>
              <w:t xml:space="preserve">2.1%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1B4F"/>
                <w:sz w:val="18"/>
                <w:szCs w:val="18"/>
              </w:rPr>
              <w:t xml:space="preserve">2019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2,759,838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€176.6B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5A"/>
                <w:sz w:val="18"/>
                <w:szCs w:val="18"/>
              </w:rPr>
              <w:t xml:space="preserve">4.4%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1B4F"/>
                <w:sz w:val="18"/>
                <w:szCs w:val="18"/>
              </w:rPr>
              <w:t xml:space="preserve">2020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3,036,556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€195.6B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5A"/>
                <w:sz w:val="18"/>
                <w:szCs w:val="18"/>
              </w:rPr>
              <w:t xml:space="preserve">7.0%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1B4F"/>
                <w:sz w:val="18"/>
                <w:szCs w:val="18"/>
              </w:rPr>
              <w:t xml:space="preserve">2021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3,036,564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€194.3B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5A"/>
                <w:sz w:val="18"/>
                <w:szCs w:val="18"/>
              </w:rPr>
              <w:t xml:space="preserve">9.5%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1B4F"/>
                <w:sz w:val="18"/>
                <w:szCs w:val="18"/>
              </w:rPr>
              <w:t xml:space="preserve">2022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3,083,306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€197.1B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5A"/>
                <w:sz w:val="18"/>
                <w:szCs w:val="18"/>
              </w:rPr>
              <w:t xml:space="preserve">12.0%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1B4F"/>
                <w:sz w:val="18"/>
                <w:szCs w:val="18"/>
              </w:rPr>
              <w:t xml:space="preserve">2023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3,177,788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€203.6B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5A"/>
                <w:sz w:val="18"/>
                <w:szCs w:val="18"/>
              </w:rPr>
              <w:t xml:space="preserve">14.5%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1B4F"/>
                <w:sz w:val="18"/>
                <w:szCs w:val="18"/>
              </w:rPr>
              <w:t xml:space="preserve">2024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3,293,423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€211.5B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5A"/>
                <w:sz w:val="18"/>
                <w:szCs w:val="18"/>
              </w:rPr>
              <w:t xml:space="preserve">17.1%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1B4F"/>
                <w:sz w:val="18"/>
                <w:szCs w:val="18"/>
              </w:rPr>
              <w:t xml:space="preserve">2025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3,362,777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€215.6B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5A"/>
                <w:sz w:val="18"/>
                <w:szCs w:val="18"/>
              </w:rPr>
              <w:t xml:space="preserve">19.4%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top w:val="single" w:color="D0D7E3" w:sz="4" w:space="6"/>
        </w:pBdr>
        <w:spacing w:before="200" w:after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Analysis prepared using Python (pandas, openpyxl). Data covers January 2018 – December 2025.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55555"/>
        <w:sz w:val="16"/>
        <w:szCs w:val="16"/>
      </w:rPr>
      <w:t xml:space="preserve">	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1B4F" w:sz="6" w:space="4"/>
      </w:pBdr>
      <w:spacing w:after="120"/>
    </w:pPr>
    <w:r>
      <w:rPr>
        <w:rFonts w:ascii="Arial" w:cs="Arial" w:eastAsia="Arial" w:hAnsi="Arial"/>
        <w:color w:val="555555"/>
        <w:sz w:val="18"/>
        <w:szCs w:val="18"/>
      </w:rPr>
      <w:t xml:space="preserve">BMW Group  |  Global Sales Intelligence Report 2018–2025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01B4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F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2026-03-14T22:12:22.264Z</dcterms:created>
  <dcterms:modified xsi:type="dcterms:W3CDTF">2026-03-14T22:12:22.265Z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