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29份伦理文件双轴重新分类总表</w:t>
      </w:r>
    </w:p>
    <w:p>
      <w:pPr>
        <w:jc w:val="center"/>
      </w:pPr>
      <w:r>
        <w:rPr>
          <w:rFonts w:ascii="Arial" w:hAnsi="Arial" w:eastAsia="Microsoft YaHei"/>
          <w:sz w:val="20"/>
        </w:rPr>
        <w:t>主轴：P职业伦理文件 / G人工智能与技术治理文件　　范围轴：I / TI / T / MT / HAI-I</w:t>
      </w:r>
    </w:p>
    <w:p>
      <w:pPr>
        <w:pStyle w:val="Heading1"/>
      </w:pPr>
      <w:r>
        <w:t>一、分类原则</w:t>
      </w:r>
    </w:p>
    <w:p>
      <w:pPr>
        <w:pStyle w:val="ListBullet"/>
      </w:pPr>
      <w:r>
        <w:t>P/G回答“这是什么性质的规范文件”；I/TI/T/MT/HAI-I回答“它主要适用于什么实践范围”。两个轴相互独立。</w:t>
      </w:r>
    </w:p>
    <w:p>
      <w:pPr>
        <w:pStyle w:val="ListBullet"/>
      </w:pPr>
      <w:r>
        <w:t>分类单位是文件，而不是发布组织。综合性协会发布的文件，只要明确适用于口译，即可标为I或TI；纯MT标准则标为G–MT。</w:t>
      </w:r>
    </w:p>
    <w:p>
      <w:pPr>
        <w:pStyle w:val="ListBullet"/>
      </w:pPr>
      <w:r>
        <w:t>标签表示首要适用范围，不否认次要适用性。为避免重复计数，每份文件只进入一个主文件夹，边界信息写入分类依据。</w:t>
      </w:r>
    </w:p>
    <w:p>
      <w:pPr>
        <w:pStyle w:val="Heading1"/>
      </w:pPr>
      <w:r>
        <w:t>二、数量概览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1"/>
        <w:gridCol w:w="3191"/>
        <w:gridCol w:w="3191"/>
        <w:gridCol w:w="3191"/>
        <w:gridCol w:w="3191"/>
        <w:gridCol w:w="3191"/>
        <w:gridCol w:w="3191"/>
      </w:tblGrid>
      <w:tr>
        <w:tc>
          <w:tcPr>
            <w:tcW w:type="dxa" w:w="3191"/>
          </w:tcPr>
          <w:p>
            <w:r>
              <w:t>P类</w:t>
            </w:r>
          </w:p>
        </w:tc>
        <w:tc>
          <w:tcPr>
            <w:tcW w:type="dxa" w:w="3191"/>
          </w:tcPr>
          <w:p>
            <w:r>
              <w:t>G类</w:t>
            </w:r>
          </w:p>
        </w:tc>
        <w:tc>
          <w:tcPr>
            <w:tcW w:type="dxa" w:w="3191"/>
          </w:tcPr>
          <w:p>
            <w:r>
              <w:t>I</w:t>
            </w:r>
          </w:p>
        </w:tc>
        <w:tc>
          <w:tcPr>
            <w:tcW w:type="dxa" w:w="3191"/>
          </w:tcPr>
          <w:p>
            <w:r>
              <w:t>TI</w:t>
            </w:r>
          </w:p>
        </w:tc>
        <w:tc>
          <w:tcPr>
            <w:tcW w:type="dxa" w:w="3191"/>
          </w:tcPr>
          <w:p>
            <w:r>
              <w:t>T</w:t>
            </w:r>
          </w:p>
        </w:tc>
        <w:tc>
          <w:tcPr>
            <w:tcW w:type="dxa" w:w="3191"/>
          </w:tcPr>
          <w:p>
            <w:r>
              <w:t>MT</w:t>
            </w:r>
          </w:p>
        </w:tc>
        <w:tc>
          <w:tcPr>
            <w:tcW w:type="dxa" w:w="3191"/>
          </w:tcPr>
          <w:p>
            <w:r>
              <w:t>HAI-I</w:t>
            </w:r>
          </w:p>
        </w:tc>
      </w:tr>
      <w:tr>
        <w:tc>
          <w:tcPr>
            <w:tcW w:type="dxa" w:w="3191"/>
          </w:tcPr>
          <w:p>
            <w:r>
              <w:t>17</w:t>
            </w:r>
          </w:p>
        </w:tc>
        <w:tc>
          <w:tcPr>
            <w:tcW w:type="dxa" w:w="3191"/>
          </w:tcPr>
          <w:p>
            <w:r>
              <w:t>12</w:t>
            </w:r>
          </w:p>
        </w:tc>
        <w:tc>
          <w:tcPr>
            <w:tcW w:type="dxa" w:w="3191"/>
          </w:tcPr>
          <w:p>
            <w:r>
              <w:t>5</w:t>
            </w:r>
          </w:p>
        </w:tc>
        <w:tc>
          <w:tcPr>
            <w:tcW w:type="dxa" w:w="3191"/>
          </w:tcPr>
          <w:p>
            <w:r>
              <w:t>14</w:t>
            </w:r>
          </w:p>
        </w:tc>
        <w:tc>
          <w:tcPr>
            <w:tcW w:type="dxa" w:w="3191"/>
          </w:tcPr>
          <w:p>
            <w:r>
              <w:t>4</w:t>
            </w:r>
          </w:p>
        </w:tc>
        <w:tc>
          <w:tcPr>
            <w:tcW w:type="dxa" w:w="3191"/>
          </w:tcPr>
          <w:p>
            <w:r>
              <w:t>4</w:t>
            </w:r>
          </w:p>
        </w:tc>
        <w:tc>
          <w:tcPr>
            <w:tcW w:type="dxa" w:w="3191"/>
          </w:tcPr>
          <w:p>
            <w:r>
              <w:t>2</w:t>
            </w:r>
          </w:p>
        </w:tc>
      </w:tr>
    </w:tbl>
    <w:p>
      <w:pPr>
        <w:pStyle w:val="Heading1"/>
      </w:pPr>
      <w:r>
        <w:t>三、29份文件分类明细</w:t>
      </w:r>
    </w:p>
    <w:p>
      <w:pPr>
        <w:pStyle w:val="Heading2"/>
      </w:pPr>
      <w:r>
        <w:t>3.1 既有规范/标准语料（E01–E19）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1"/>
        <w:gridCol w:w="3191"/>
        <w:gridCol w:w="3191"/>
        <w:gridCol w:w="3191"/>
        <w:gridCol w:w="3191"/>
        <w:gridCol w:w="3191"/>
        <w:gridCol w:w="3191"/>
      </w:tblGrid>
      <w:tr>
        <w:trPr>
          <w:tblHeader w:val="true"/>
        </w:trPr>
        <w:tc>
          <w:tcPr>
            <w:tcW w:type="dxa" w:w="680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42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文件名称</w:t>
            </w:r>
          </w:p>
        </w:tc>
        <w:tc>
          <w:tcPr>
            <w:tcW w:type="dxa" w:w="1474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规范类型</w:t>
            </w:r>
          </w:p>
        </w:tc>
        <w:tc>
          <w:tcPr>
            <w:tcW w:type="dxa" w:w="1247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实践范围</w:t>
            </w:r>
          </w:p>
        </w:tc>
        <w:tc>
          <w:tcPr>
            <w:tcW w:type="dxa" w:w="1134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组合代码</w:t>
            </w:r>
          </w:p>
        </w:tc>
        <w:tc>
          <w:tcPr>
            <w:tcW w:type="dxa" w:w="1814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语料角色</w:t>
            </w:r>
          </w:p>
        </w:tc>
        <w:tc>
          <w:tcPr>
            <w:tcW w:type="dxa" w:w="595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分类依据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E01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ZYF 012—2019《译员职业道德准则与行为规范》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文件标题明确适用于 translators and interpreters。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E02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AUSIT《Code of Ethics》2012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协会及守则明确同时适用于 translators and interpreters。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E03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AIIC《Professional Standards / Code》2022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AIIC为会议口译员协会，文件以会议口译职业实践为中心。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E04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FIT《Translator’s Charter》1994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笔译职业参照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正文主要规范文学、科学和技术文本的书面翻译及译者权利义务。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E05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NAJIT《Code of Ethics and Professional Responsibilities》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法律场景中同时覆盖 court interpreters and translators。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E06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HIN《National Standard Guide for Community Interpreting Services》2007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文件明确规范社区口译服务。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E07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ISO 18587:2017 机器翻译译后编辑要求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MT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G–MT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外部技术参照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技术标准专门规范机器翻译输出的译后编辑流程与能力要求。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E08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EULITA《Code of Professional Ethics》2013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欧洲法律口译与笔译员协会的职业伦理守则。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E09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ICTY《Code of Ethics for Interpreters and Translators》1999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标题和适用主体明确包括 interpreters and translators。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E10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NCIHC《National Standards of Practice for Interpreters in Health Care》2004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文件明确面向医疗口译员。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E11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SATI《Code of Conduct for Individual Members》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SATI会员涵盖翻译、口译及相关语言服务，守则为通用职业规范。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E12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BDÜ《Code of Professional Conduct》2025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BDÜ为德国口译与笔译协会，文件同时规范两类职业实践。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E13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CIOL《Code of Professional Conduct》2015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作为语言专业人员通用守则，研究语境中明确涵盖翻译与口译实践。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E14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ITI《Code of Professional Conduct》2025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ITI为英国翻译与口译学会，守则同时适用于翻译和口译会员。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E15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NAIE《Educational Interpreter Code of Ethics》2021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文件专门规范教育口译员。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E16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ATA《Code of Ethics and Professional Practice》2022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ATA守则及其解释面向 translators and interpreters。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E17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T/TAC 10—2024《机器翻译伦理要求》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MT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G–MT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外部技术参照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团体标准专门规范机器翻译的开发、提供、采购和使用。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E18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ASLIA《Code of Ethics》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ASLIA为澳大利亚手语口译员协会，文件以手语口译为中心。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E19</w:t>
            </w:r>
          </w:p>
        </w:tc>
        <w:tc>
          <w:tcPr>
            <w:tcW w:type="dxa" w:w="4422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NZSTI《Code of Conduct and Ethics》</w:t>
            </w:r>
          </w:p>
        </w:tc>
        <w:tc>
          <w:tcPr>
            <w:tcW w:type="dxa" w:w="147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 职业伦理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P–TI</w:t>
            </w:r>
          </w:p>
        </w:tc>
        <w:tc>
          <w:tcPr>
            <w:tcW w:type="dxa" w:w="1814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核心口译语料</w:t>
            </w:r>
          </w:p>
        </w:tc>
        <w:tc>
          <w:tcPr>
            <w:tcW w:type="dxa" w:w="5953"/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NZSTI为新西兰翻译与口译协会，守则同时涵盖两类实践。</w:t>
            </w:r>
          </w:p>
        </w:tc>
      </w:tr>
    </w:tbl>
    <w:p>
      <w:r>
        <w:br w:type="page"/>
      </w:r>
    </w:p>
    <w:p>
      <w:pPr>
        <w:pStyle w:val="Heading2"/>
      </w:pPr>
      <w:r>
        <w:t>3.2 AI与MT立场/指南语料（A01–A10）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1"/>
        <w:gridCol w:w="3191"/>
        <w:gridCol w:w="3191"/>
        <w:gridCol w:w="3191"/>
        <w:gridCol w:w="3191"/>
        <w:gridCol w:w="3191"/>
        <w:gridCol w:w="3191"/>
      </w:tblGrid>
      <w:tr>
        <w:trPr>
          <w:tblHeader w:val="true"/>
        </w:trPr>
        <w:tc>
          <w:tcPr>
            <w:tcW w:type="dxa" w:w="680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42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文件名称</w:t>
            </w:r>
          </w:p>
        </w:tc>
        <w:tc>
          <w:tcPr>
            <w:tcW w:type="dxa" w:w="1474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规范类型</w:t>
            </w:r>
          </w:p>
        </w:tc>
        <w:tc>
          <w:tcPr>
            <w:tcW w:type="dxa" w:w="1247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实践范围</w:t>
            </w:r>
          </w:p>
        </w:tc>
        <w:tc>
          <w:tcPr>
            <w:tcW w:type="dxa" w:w="1134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组合代码</w:t>
            </w:r>
          </w:p>
        </w:tc>
        <w:tc>
          <w:tcPr>
            <w:tcW w:type="dxa" w:w="1814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语料角色</w:t>
            </w:r>
          </w:p>
        </w:tc>
        <w:tc>
          <w:tcPr>
            <w:tcW w:type="dxa" w:w="595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  <w:t>分类依据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A01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CEATL《Statement on Artificial Intelligence》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G–T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AI治理桥接语料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由欧洲文学翻译家协会发布，核心对象是文学翻译与作者权利。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A02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ITI《Slow Translation Manifesto》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G–T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AI治理桥接语料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聚焦书面翻译的艺术性、质量、文化语境和反自动化立场。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A03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FIT《人工智能在口译中应用的立场文件》2024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HAI-I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G–HAI-I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核心AI口译治理语料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标题及内容明确处理AI在口译中的应用。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A04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FIT《人工智能时代的机器翻译立场文件》2025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MT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G–MT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外部技术参照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文件专门讨论机器翻译及其在AI时代的使用与治理。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A05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AVTE《Statement on Generative AI》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G–T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AI治理桥接语料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由欧洲视听翻译者组织发布，主要针对视听翻译创作及生成式AI。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A06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AVTE《Machine Translation Manifesto》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MT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G–MT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外部技术参照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文本以机器翻译在视听翻译工作流中的使用为直接对象。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A07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SFT《Prise de position sur l’intelligence artificielle》2024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G–TI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AI治理桥接语料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正文明确以 traduction et interprétation 两类职业及书面、口头内容为对象。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A08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CIOL《AI Voices 2025》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G–TI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AI治理桥接语料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文件反复讨论 translation/interpreting workflows 及 machine translation/interpreting。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A09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Interpreting SAFE-AI Task Force Guidance 2024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HAI-I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G–HAI-I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核心AI口译治理语料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指南专门面向自动口译、AI辅助口译及口译服务各利益相关方。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A10</w:t>
            </w:r>
          </w:p>
        </w:tc>
        <w:tc>
          <w:tcPr>
            <w:tcW w:type="dxa" w:w="4422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AUSIT《Position Statement on AI in Translation &amp; Interpreting》2025</w:t>
            </w:r>
          </w:p>
        </w:tc>
        <w:tc>
          <w:tcPr>
            <w:tcW w:type="dxa" w:w="147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 AI/技术治理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TI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G–TI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核心/桥接AI治理语料</w:t>
            </w:r>
          </w:p>
        </w:tc>
        <w:tc>
          <w:tcPr>
            <w:tcW w:type="dxa" w:w="5953"/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sz w:val="16"/>
              </w:rPr>
              <w:t>标题、目录与原则同时覆盖MT、MI及翻译和口译服务。</w:t>
            </w:r>
          </w:p>
        </w:tc>
      </w:tr>
    </w:tbl>
    <w:p>
      <w:pPr>
        <w:pStyle w:val="Heading1"/>
      </w:pPr>
      <w:r>
        <w:t>四、研究使用建议</w:t>
      </w:r>
    </w:p>
    <w:p>
      <w:pPr>
        <w:pStyle w:val="ListBullet"/>
      </w:pPr>
      <w:r>
        <w:t>主要比较：P类职业伦理话语与G类AI/技术治理话语在29个维度上的共性与差异。</w:t>
      </w:r>
    </w:p>
    <w:p>
      <w:pPr>
        <w:pStyle w:val="ListBullet"/>
      </w:pPr>
      <w:r>
        <w:t>口译核心：P–I、P–TI与G–HAI-I；G–TI可作为直接桥接材料。</w:t>
      </w:r>
    </w:p>
    <w:p>
      <w:pPr>
        <w:pStyle w:val="ListBullet"/>
      </w:pPr>
      <w:r>
        <w:t>外部参照：P–T、G–T与G–MT不能直接代表机器口译伦理，应经过口译情境化和适用性检验后再进入统一框架。</w:t>
      </w:r>
    </w:p>
    <w:p>
      <w:pPr>
        <w:pStyle w:val="ListBullet"/>
      </w:pPr>
      <w:r>
        <w:t>统计时建议分别报告核心口译语料、桥接治理语料和MT外部参照的结果，避免不同分母混用。</w:t>
      </w:r>
    </w:p>
    <w:p>
      <w:pPr>
        <w:pStyle w:val="Heading1"/>
      </w:pPr>
      <w:r>
        <w:t>五、未纳入29份研究文件的原包项目</w:t>
      </w:r>
    </w:p>
    <w:p>
      <w:pPr>
        <w:pStyle w:val="ListBullet"/>
      </w:pPr>
      <w:r>
        <w:t>ATC_Code_of_Professional_Conduct.pdf：原文目录中的额外文件，无对应编号编码表。</w:t>
      </w:r>
    </w:p>
    <w:p>
      <w:pPr>
        <w:pStyle w:val="ListBullet"/>
      </w:pPr>
      <w:r>
        <w:t>ITI_Code_of_Conduct牙科团队.pdf：实际属于 International Team for Implantology，与翻译/口译无关。</w:t>
      </w:r>
    </w:p>
    <w:sectPr w:rsidR="00FC693F" w:rsidRPr="0006063C" w:rsidSect="00034616">
      <w:footerReference w:type="default" r:id="rId9"/>
      <w:pgSz w:w="23811" w:h="16838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sz w:val="16"/>
      </w:rPr>
      <w:t>双轴分类工作稿｜2026-07-29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