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59" w:lineRule="auto"/>
        <w:jc w:val="center"/>
      </w:pPr>
      <w:r>
        <w:rPr>
          <w:rFonts w:ascii="Arial" w:hAnsi="Arial" w:eastAsia="Noto Sans CJK SC"/>
          <w:b/>
          <w:i w:val="0"/>
          <w:color w:val="1F4E79"/>
          <w:sz w:val="38"/>
        </w:rPr>
        <w:t>29维伦理向上提炼矩阵：主题综合与Ross多元义务修订版</w:t>
      </w:r>
    </w:p>
    <w:p>
      <w:pPr>
        <w:spacing w:before="0" w:after="140" w:line="259" w:lineRule="auto"/>
        <w:jc w:val="center"/>
      </w:pPr>
      <w:r>
        <w:rPr>
          <w:rFonts w:ascii="Arial" w:hAnsi="Arial" w:eastAsia="Noto Sans CJK SC"/>
          <w:b w:val="0"/>
          <w:i/>
          <w:color w:val="5A5A5A"/>
          <w:sz w:val="20"/>
        </w:rPr>
        <w:t>Clause-level Codes → Descriptive Dimensions → Analytical Normative Themes → Higher-order Values</w:t>
      </w:r>
    </w:p>
    <w:p>
      <w:pPr>
        <w:spacing w:before="0" w:after="60" w:line="259" w:lineRule="auto"/>
      </w:pPr>
      <w:r>
        <w:rPr>
          <w:rFonts w:ascii="Arial" w:hAnsi="Arial" w:eastAsia="Noto Sans CJK SC"/>
          <w:b/>
          <w:i w:val="0"/>
          <w:color w:val="1F4E79"/>
          <w:sz w:val="26"/>
        </w:rPr>
        <w:t>一、质性方法：改造后的主题综合</w:t>
      </w:r>
    </w:p>
    <w:p>
      <w:pPr>
        <w:spacing w:before="0" w:after="80" w:line="259" w:lineRule="auto"/>
      </w:pPr>
      <w:r>
        <w:rPr>
          <w:rFonts w:ascii="Arial" w:hAnsi="Arial" w:eastAsia="Noto Sans CJK SC"/>
          <w:b w:val="0"/>
          <w:i w:val="0"/>
          <w:sz w:val="18"/>
        </w:rPr>
        <w:t>本研究以Thomas与Harden（2008）的thematic synthesis作为二阶主题形成的质性研究方法依据。其原始三阶段为逐行编码、形成描述性主题、生成分析性主题。本研究针对规范文件作适配：首先逐条识别规范条款并依据29维编码手册归类；其次把29维视为贴近文本的描述性主题；最后比较各维度的直接规范对象、保护对象、作用阶段和主要规范功能，生成六个超越单份文件表述的分析性规范主题。</w:t>
      </w:r>
    </w:p>
    <w:p>
      <w:pPr>
        <w:spacing w:before="0" w:after="80" w:line="259" w:lineRule="auto"/>
      </w:pPr>
      <w:r>
        <w:rPr>
          <w:rFonts w:ascii="Arial" w:hAnsi="Arial" w:eastAsia="Noto Sans CJK SC"/>
          <w:b w:val="0"/>
          <w:i w:val="0"/>
          <w:sz w:val="18"/>
        </w:rPr>
        <w:t>四项属性是主题生成的审计问题，而不是四套相互竞争的方法；主题不是根据单一关键词、出现频率或统计聚类生成。</w:t>
      </w:r>
    </w:p>
    <w:p>
      <w:pPr>
        <w:spacing w:before="60" w:after="60" w:line="259" w:lineRule="auto"/>
      </w:pPr>
      <w:r>
        <w:rPr>
          <w:rFonts w:ascii="Arial" w:hAnsi="Arial" w:eastAsia="Noto Sans CJK SC"/>
          <w:b/>
          <w:i w:val="0"/>
          <w:color w:val="1F4E79"/>
          <w:sz w:val="26"/>
        </w:rPr>
        <w:t>二、六个主题的证据地位</w:t>
      </w:r>
    </w:p>
    <w:p>
      <w:pPr>
        <w:spacing w:before="0" w:after="80" w:line="259" w:lineRule="auto"/>
      </w:pPr>
      <w:r>
        <w:rPr>
          <w:rFonts w:ascii="Arial" w:hAnsi="Arial" w:eastAsia="Noto Sans CJK SC"/>
          <w:b w:val="0"/>
          <w:i w:val="0"/>
          <w:sz w:val="18"/>
        </w:rPr>
        <w:t>六个二阶主题是研究者生成的analytical themes。原始文件直接支持的是具体条款和29个一阶维度；主题名称与边界来自跨维度综合。因此，每一主题都必须能够反向追溯到原始条款，并通过边界案例、反例、原则冲突和场景压力测试进行修订。</w:t>
      </w:r>
    </w:p>
    <w:p>
      <w:pPr>
        <w:spacing w:before="60" w:after="60" w:line="259" w:lineRule="auto"/>
      </w:pPr>
      <w:r>
        <w:rPr>
          <w:rFonts w:ascii="Arial" w:hAnsi="Arial" w:eastAsia="Noto Sans CJK SC"/>
          <w:b/>
          <w:i w:val="0"/>
          <w:color w:val="1F4E79"/>
          <w:sz w:val="26"/>
        </w:rPr>
        <w:t>三、Ross的作用边界</w:t>
      </w:r>
    </w:p>
    <w:p>
      <w:pPr>
        <w:spacing w:before="0" w:after="80" w:line="259" w:lineRule="auto"/>
      </w:pPr>
      <w:r>
        <w:rPr>
          <w:rFonts w:ascii="Arial" w:hAnsi="Arial" w:eastAsia="Noto Sans CJK SC"/>
          <w:b w:val="0"/>
          <w:i w:val="0"/>
          <w:sz w:val="18"/>
        </w:rPr>
        <w:t>Ross的多元初步义务理论不负责把29维分成六组。它只在规范建构阶段提供理论敏感性：准确、保密、公平、不伤害、自主、职业承诺等义务都可能具有真实的初步约束力，但在具体人机协同口译场景中可能冲突，不能预设一个永远固定的机械排序。</w:t>
      </w:r>
    </w:p>
    <w:p>
      <w:pPr>
        <w:spacing w:before="60" w:after="60" w:line="259" w:lineRule="auto"/>
      </w:pPr>
      <w:r>
        <w:rPr>
          <w:rFonts w:ascii="Arial" w:hAnsi="Arial" w:eastAsia="Noto Sans CJK SC"/>
          <w:b/>
          <w:i w:val="0"/>
          <w:color w:val="1F4E79"/>
          <w:sz w:val="26"/>
        </w:rPr>
        <w:t>四、三阶段操作路径</w:t>
      </w:r>
    </w:p>
    <w:tbl>
      <w:tblPr>
        <w:tblStyle w:val="TableGrid"/>
        <w:tblW w:type="auto" w:w="0"/>
        <w:jc w:val="center"/>
        <w:tblLayout w:type="fixed"/>
        <w:tblLook w:firstColumn="1" w:firstRow="1" w:lastColumn="0" w:lastRow="0" w:noHBand="0" w:noVBand="1" w:val="04A0"/>
      </w:tblPr>
      <w:tblGrid>
        <w:gridCol w:w="11362"/>
        <w:gridCol w:w="11362"/>
      </w:tblGrid>
      <w:tr>
        <w:trPr>
          <w:tblHeader w:val="true"/>
        </w:trPr>
        <w:tc>
          <w:tcPr>
            <w:tcW w:type="dxa" w:w="3168"/>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b/>
                <w:i w:val="0"/>
                <w:color w:val="FFFFFF"/>
                <w:sz w:val="17"/>
              </w:rPr>
              <w:t>阶段</w:t>
            </w:r>
          </w:p>
        </w:tc>
        <w:tc>
          <w:tcPr>
            <w:tcW w:type="dxa" w:w="19152"/>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b/>
                <w:i w:val="0"/>
                <w:color w:val="FFFFFF"/>
                <w:sz w:val="17"/>
              </w:rPr>
              <w:t>具体操作</w:t>
            </w:r>
          </w:p>
        </w:tc>
      </w:tr>
      <w:tr>
        <w:trPr>
          <w:cantSplit w:val="true"/>
        </w:trPr>
        <w:tc>
          <w:tcPr>
            <w:tcW w:type="dxa" w:w="3168"/>
            <w:vAlign w:val="center"/>
            <w:tcMar>
              <w:top w:w="45" w:type="dxa"/>
              <w:start w:w="55" w:type="dxa"/>
              <w:bottom w:w="45" w:type="dxa"/>
              <w:end w:w="55" w:type="dxa"/>
            </w:tcMar>
          </w:tcPr>
          <w:p>
            <w:pPr>
              <w:spacing w:before="0" w:after="0" w:line="240" w:lineRule="auto"/>
              <w:jc w:val="left"/>
            </w:pPr>
            <w:r/>
            <w:r>
              <w:rPr>
                <w:rFonts w:ascii="Arial" w:hAnsi="Arial" w:eastAsia="Noto Sans CJK SC"/>
                <w:b/>
                <w:i w:val="0"/>
                <w:sz w:val="16"/>
              </w:rPr>
              <w:t>阶段1：条款级编码</w:t>
            </w:r>
          </w:p>
        </w:tc>
        <w:tc>
          <w:tcPr>
            <w:tcW w:type="dxa" w:w="19152"/>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6"/>
              </w:rPr>
              <w:t>以29维操作定义、识别标志、排除标准和相邻维度辨析编码原始条款；保留文件编号、条款号、页码、边界案例和修订日志。</w:t>
            </w:r>
          </w:p>
        </w:tc>
      </w:tr>
      <w:tr>
        <w:trPr>
          <w:cantSplit w:val="true"/>
        </w:trPr>
        <w:tc>
          <w:tcPr>
            <w:tcW w:type="dxa" w:w="3168"/>
            <w:vAlign w:val="center"/>
            <w:tcMar>
              <w:top w:w="45" w:type="dxa"/>
              <w:start w:w="55" w:type="dxa"/>
              <w:bottom w:w="45" w:type="dxa"/>
              <w:end w:w="55" w:type="dxa"/>
            </w:tcMar>
          </w:tcPr>
          <w:p>
            <w:pPr>
              <w:spacing w:before="0" w:after="0" w:line="240" w:lineRule="auto"/>
              <w:jc w:val="left"/>
            </w:pPr>
            <w:r/>
            <w:r>
              <w:rPr>
                <w:rFonts w:ascii="Arial" w:hAnsi="Arial" w:eastAsia="Noto Sans CJK SC"/>
                <w:b/>
                <w:i w:val="0"/>
                <w:sz w:val="16"/>
              </w:rPr>
              <w:t>阶段2：描述性维度整理</w:t>
            </w:r>
          </w:p>
        </w:tc>
        <w:tc>
          <w:tcPr>
            <w:tcW w:type="dxa" w:w="19152"/>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6"/>
              </w:rPr>
              <w:t>对每一维记录直接规范对象、保护对象、作用阶段和主要规范功能，使主题形成过程可见、可复核。</w:t>
            </w:r>
          </w:p>
        </w:tc>
      </w:tr>
      <w:tr>
        <w:trPr>
          <w:cantSplit w:val="true"/>
        </w:trPr>
        <w:tc>
          <w:tcPr>
            <w:tcW w:type="dxa" w:w="3168"/>
            <w:vAlign w:val="center"/>
            <w:tcMar>
              <w:top w:w="45" w:type="dxa"/>
              <w:start w:w="55" w:type="dxa"/>
              <w:bottom w:w="45" w:type="dxa"/>
              <w:end w:w="55" w:type="dxa"/>
            </w:tcMar>
          </w:tcPr>
          <w:p>
            <w:pPr>
              <w:spacing w:before="0" w:after="0" w:line="240" w:lineRule="auto"/>
              <w:jc w:val="left"/>
            </w:pPr>
            <w:r/>
            <w:r>
              <w:rPr>
                <w:rFonts w:ascii="Arial" w:hAnsi="Arial" w:eastAsia="Noto Sans CJK SC"/>
                <w:b/>
                <w:i w:val="0"/>
                <w:sz w:val="16"/>
              </w:rPr>
              <w:t>阶段3：分析性主题生成</w:t>
            </w:r>
          </w:p>
        </w:tc>
        <w:tc>
          <w:tcPr>
            <w:tcW w:type="dxa" w:w="19152"/>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6"/>
              </w:rPr>
              <w:t>横向比较29维的四项属性，识别反复出现的保护目的和规范功能，形成六个二阶主题；再以原始证据反查、边界案例和场景压力测试修订。</w:t>
            </w:r>
          </w:p>
        </w:tc>
      </w:tr>
    </w:tbl>
    <w:p>
      <w:pPr>
        <w:spacing w:before="120" w:after="60" w:line="259" w:lineRule="auto"/>
      </w:pPr>
      <w:r>
        <w:rPr>
          <w:rFonts w:ascii="Arial" w:hAnsi="Arial" w:eastAsia="Noto Sans CJK SC"/>
          <w:b/>
          <w:i w:val="0"/>
          <w:color w:val="1F4E79"/>
          <w:sz w:val="26"/>
        </w:rPr>
        <w:t>五、29维向上提炼矩阵</w:t>
      </w:r>
    </w:p>
    <w:p>
      <w:pPr>
        <w:spacing w:before="0" w:after="80" w:line="259" w:lineRule="auto"/>
      </w:pPr>
      <w:r>
        <w:rPr>
          <w:rFonts w:ascii="Arial" w:hAnsi="Arial" w:eastAsia="Noto Sans CJK SC"/>
          <w:b w:val="0"/>
          <w:i w:val="0"/>
          <w:color w:val="464646"/>
          <w:sz w:val="17"/>
        </w:rPr>
        <w:t>操作说明：直接规范对象＝条款直接规制的行为、关系、过程或技术属性；保护对象＝该规范意图直接保障的人、群体、信息或公共利益；作用阶段＝规范介入实践流程的主要时点；主要规范功能＝该维度最直接发挥的伦理作用；二阶规范主题＝依据四项属性中反复出现的共同模式形成的分析性类别；主要上位价值与次要价值＝用于说明该规范为何值得维护及其可能关联的其他价值。</w:t>
      </w:r>
    </w:p>
    <w:tbl>
      <w:tblPr>
        <w:tblStyle w:val="TableGrid"/>
        <w:tblW w:type="auto" w:w="0"/>
        <w:jc w:val="center"/>
        <w:tblLayout w:type="fixed"/>
        <w:tblLook w:firstColumn="1" w:firstRow="1" w:lastColumn="0" w:lastRow="0" w:noHBand="0" w:noVBand="1" w:val="04A0"/>
      </w:tblPr>
      <w:tblGrid>
        <w:gridCol w:w="2840"/>
        <w:gridCol w:w="2840"/>
        <w:gridCol w:w="2840"/>
        <w:gridCol w:w="2840"/>
        <w:gridCol w:w="2840"/>
        <w:gridCol w:w="2840"/>
        <w:gridCol w:w="2840"/>
        <w:gridCol w:w="2840"/>
      </w:tblGrid>
      <w:tr>
        <w:trPr>
          <w:tblHeader w:val="true"/>
          <w:cantSplit w:val="true"/>
        </w:trPr>
        <w:tc>
          <w:tcPr>
            <w:tcW w:type="dxa" w:w="1728"/>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b/>
                <w:i w:val="0"/>
                <w:color w:val="FFFFFF"/>
                <w:sz w:val="15"/>
              </w:rPr>
              <w:t>一阶维度</w:t>
            </w:r>
          </w:p>
        </w:tc>
        <w:tc>
          <w:tcPr>
            <w:tcW w:type="dxa" w:w="3311"/>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b/>
                <w:i w:val="0"/>
                <w:color w:val="FFFFFF"/>
                <w:sz w:val="15"/>
              </w:rPr>
              <w:t>直接规范对象</w:t>
            </w:r>
          </w:p>
        </w:tc>
        <w:tc>
          <w:tcPr>
            <w:tcW w:type="dxa" w:w="2951"/>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b/>
                <w:i w:val="0"/>
                <w:color w:val="FFFFFF"/>
                <w:sz w:val="15"/>
              </w:rPr>
              <w:t>保护对象</w:t>
            </w:r>
          </w:p>
        </w:tc>
        <w:tc>
          <w:tcPr>
            <w:tcW w:type="dxa" w:w="2232"/>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b/>
                <w:i w:val="0"/>
                <w:color w:val="FFFFFF"/>
                <w:sz w:val="15"/>
              </w:rPr>
              <w:t>作用阶段</w:t>
            </w:r>
          </w:p>
        </w:tc>
        <w:tc>
          <w:tcPr>
            <w:tcW w:type="dxa" w:w="3816"/>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b/>
                <w:i w:val="0"/>
                <w:color w:val="FFFFFF"/>
                <w:sz w:val="15"/>
              </w:rPr>
              <w:t>主要规范功能</w:t>
            </w:r>
          </w:p>
        </w:tc>
        <w:tc>
          <w:tcPr>
            <w:tcW w:type="dxa" w:w="3096"/>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b/>
                <w:i w:val="0"/>
                <w:color w:val="FFFFFF"/>
                <w:sz w:val="15"/>
              </w:rPr>
              <w:t>二阶规范主题</w:t>
            </w:r>
          </w:p>
        </w:tc>
        <w:tc>
          <w:tcPr>
            <w:tcW w:type="dxa" w:w="2808"/>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b/>
                <w:i w:val="0"/>
                <w:color w:val="FFFFFF"/>
                <w:sz w:val="15"/>
              </w:rPr>
              <w:t>主要上位价值</w:t>
            </w:r>
          </w:p>
        </w:tc>
        <w:tc>
          <w:tcPr>
            <w:tcW w:type="dxa" w:w="2664"/>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b/>
                <w:i w:val="0"/>
                <w:color w:val="FFFFFF"/>
                <w:sz w:val="15"/>
              </w:rPr>
              <w:t>次要价值</w:t>
            </w:r>
          </w:p>
        </w:tc>
      </w:tr>
      <w:tr>
        <w:trPr>
          <w:cantSplit w:val="true"/>
        </w:trPr>
        <w:tc>
          <w:tcPr>
            <w:tcW w:type="dxa" w:w="1728"/>
            <w:vAlign w:val="center"/>
            <w:tcMar>
              <w:top w:w="45" w:type="dxa"/>
              <w:start w:w="55" w:type="dxa"/>
              <w:bottom w:w="45" w:type="dxa"/>
              <w:end w:w="55" w:type="dxa"/>
            </w:tcMar>
          </w:tcPr>
          <w:p>
            <w:pPr>
              <w:spacing w:before="0" w:after="0" w:line="240" w:lineRule="auto"/>
              <w:jc w:val="center"/>
            </w:pPr>
            <w:r/>
            <w:r>
              <w:rPr>
                <w:rFonts w:ascii="Arial" w:hAnsi="Arial" w:eastAsia="Noto Sans CJK SC"/>
                <w:b/>
                <w:i w:val="0"/>
                <w:sz w:val="13"/>
              </w:rPr>
              <w:t>1. 保密性</w:t>
            </w:r>
          </w:p>
        </w:tc>
        <w:tc>
          <w:tcPr>
            <w:tcW w:type="dxa" w:w="3311"/>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工作过程中获知信息的披露与使用</w:t>
            </w:r>
          </w:p>
        </w:tc>
        <w:tc>
          <w:tcPr>
            <w:tcW w:type="dxa" w:w="2951"/>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客户、当事人的信息权益及信任关系</w:t>
            </w:r>
          </w:p>
        </w:tc>
        <w:tc>
          <w:tcPr>
            <w:tcW w:type="dxa" w:w="2232"/>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履职全过程及任务结束后</w:t>
            </w:r>
          </w:p>
        </w:tc>
        <w:tc>
          <w:tcPr>
            <w:tcW w:type="dxa" w:w="3816"/>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防止未经授权的泄露、传播和信息滥用</w:t>
            </w:r>
          </w:p>
        </w:tc>
        <w:tc>
          <w:tcPr>
            <w:tcW w:type="dxa" w:w="3096"/>
            <w:vAlign w:val="center"/>
            <w:tcMar>
              <w:top w:w="45" w:type="dxa"/>
              <w:start w:w="55" w:type="dxa"/>
              <w:bottom w:w="45" w:type="dxa"/>
              <w:end w:w="55" w:type="dxa"/>
            </w:tcMar>
            <w:shd w:fill="FCE4D6"/>
          </w:tcPr>
          <w:p>
            <w:pPr>
              <w:spacing w:before="0" w:after="0" w:line="240" w:lineRule="auto"/>
              <w:jc w:val="center"/>
            </w:pPr>
            <w:r/>
            <w:r>
              <w:rPr>
                <w:rFonts w:ascii="Arial" w:hAnsi="Arial" w:eastAsia="Noto Sans CJK SC"/>
                <w:b w:val="0"/>
                <w:i w:val="0"/>
                <w:sz w:val="13"/>
              </w:rPr>
              <w:t>人格、信息与自主权保护</w:t>
            </w:r>
          </w:p>
        </w:tc>
        <w:tc>
          <w:tcPr>
            <w:tcW w:type="dxa" w:w="2808"/>
            <w:vAlign w:val="center"/>
            <w:tcMar>
              <w:top w:w="45" w:type="dxa"/>
              <w:start w:w="55" w:type="dxa"/>
              <w:bottom w:w="45" w:type="dxa"/>
              <w:end w:w="55" w:type="dxa"/>
            </w:tcMar>
          </w:tcPr>
          <w:p>
            <w:pPr>
              <w:spacing w:before="0" w:after="0" w:line="240" w:lineRule="auto"/>
              <w:jc w:val="center"/>
            </w:pPr>
            <w:r/>
            <w:r>
              <w:rPr>
                <w:rFonts w:ascii="Arial" w:hAnsi="Arial" w:eastAsia="Noto Sans CJK SC"/>
                <w:b w:val="0"/>
                <w:i w:val="0"/>
                <w:sz w:val="13"/>
              </w:rPr>
              <w:t>人格尊严与自主决定</w:t>
            </w:r>
          </w:p>
        </w:tc>
        <w:tc>
          <w:tcPr>
            <w:tcW w:type="dxa" w:w="2664"/>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信任、合作与共同善；免受伤害</w:t>
            </w:r>
          </w:p>
        </w:tc>
      </w:tr>
      <w:tr>
        <w:trPr>
          <w:cantSplit w:val="true"/>
        </w:trPr>
        <w:tc>
          <w:tcPr>
            <w:tcW w:type="dxa" w:w="1728"/>
            <w:vAlign w:val="center"/>
            <w:tcMar>
              <w:top w:w="45" w:type="dxa"/>
              <w:start w:w="55" w:type="dxa"/>
              <w:bottom w:w="45" w:type="dxa"/>
              <w:end w:w="55" w:type="dxa"/>
            </w:tcMar>
            <w:shd w:fill="F8FAFC"/>
          </w:tcPr>
          <w:p>
            <w:pPr>
              <w:spacing w:before="0" w:after="0" w:line="240" w:lineRule="auto"/>
              <w:jc w:val="center"/>
            </w:pPr>
            <w:r/>
            <w:r>
              <w:rPr>
                <w:rFonts w:ascii="Arial" w:hAnsi="Arial" w:eastAsia="Noto Sans CJK SC"/>
                <w:b/>
                <w:i w:val="0"/>
                <w:sz w:val="13"/>
              </w:rPr>
              <w:t>2. 胜任能力</w:t>
            </w:r>
          </w:p>
        </w:tc>
        <w:tc>
          <w:tcPr>
            <w:tcW w:type="dxa" w:w="3311"/>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任务承接前的能力评估及接受/拒绝决定</w:t>
            </w:r>
          </w:p>
        </w:tc>
        <w:tc>
          <w:tcPr>
            <w:tcW w:type="dxa" w:w="2951"/>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服务对象、沟通结果与专业质量</w:t>
            </w:r>
          </w:p>
        </w:tc>
        <w:tc>
          <w:tcPr>
            <w:tcW w:type="dxa" w:w="2232"/>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任务承接前</w:t>
            </w:r>
          </w:p>
        </w:tc>
        <w:tc>
          <w:tcPr>
            <w:tcW w:type="dxa" w:w="3816"/>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防止超出语言、专业或技术能力范围承接任务</w:t>
            </w:r>
          </w:p>
        </w:tc>
        <w:tc>
          <w:tcPr>
            <w:tcW w:type="dxa" w:w="3096"/>
            <w:vAlign w:val="center"/>
            <w:tcMar>
              <w:top w:w="45" w:type="dxa"/>
              <w:start w:w="55" w:type="dxa"/>
              <w:bottom w:w="45" w:type="dxa"/>
              <w:end w:w="55" w:type="dxa"/>
            </w:tcMar>
            <w:shd w:fill="DDEBF7"/>
          </w:tcPr>
          <w:p>
            <w:pPr>
              <w:spacing w:before="0" w:after="0" w:line="240" w:lineRule="auto"/>
              <w:jc w:val="center"/>
            </w:pPr>
            <w:r/>
            <w:r>
              <w:rPr>
                <w:rFonts w:ascii="Arial" w:hAnsi="Arial" w:eastAsia="Noto Sans CJK SC"/>
                <w:b w:val="0"/>
                <w:i w:val="0"/>
                <w:sz w:val="13"/>
              </w:rPr>
              <w:t>沟通真实性与专业可靠性</w:t>
            </w:r>
          </w:p>
        </w:tc>
        <w:tc>
          <w:tcPr>
            <w:tcW w:type="dxa" w:w="2808"/>
            <w:vAlign w:val="center"/>
            <w:tcMar>
              <w:top w:w="45" w:type="dxa"/>
              <w:start w:w="55" w:type="dxa"/>
              <w:bottom w:w="45" w:type="dxa"/>
              <w:end w:w="55" w:type="dxa"/>
            </w:tcMar>
            <w:shd w:fill="F8FAFC"/>
          </w:tcPr>
          <w:p>
            <w:pPr>
              <w:spacing w:before="0" w:after="0" w:line="240" w:lineRule="auto"/>
              <w:jc w:val="center"/>
            </w:pPr>
            <w:r/>
            <w:r>
              <w:rPr>
                <w:rFonts w:ascii="Arial" w:hAnsi="Arial" w:eastAsia="Noto Sans CJK SC"/>
                <w:b w:val="0"/>
                <w:i w:val="0"/>
                <w:sz w:val="13"/>
              </w:rPr>
              <w:t>真实理解与知识可靠性</w:t>
            </w:r>
          </w:p>
        </w:tc>
        <w:tc>
          <w:tcPr>
            <w:tcW w:type="dxa" w:w="266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福祉、安全与免受伤害；信任</w:t>
            </w:r>
          </w:p>
        </w:tc>
      </w:tr>
      <w:tr>
        <w:trPr>
          <w:cantSplit w:val="true"/>
        </w:trPr>
        <w:tc>
          <w:tcPr>
            <w:tcW w:type="dxa" w:w="1728"/>
            <w:vAlign w:val="center"/>
            <w:tcMar>
              <w:top w:w="45" w:type="dxa"/>
              <w:start w:w="55" w:type="dxa"/>
              <w:bottom w:w="45" w:type="dxa"/>
              <w:end w:w="55" w:type="dxa"/>
            </w:tcMar>
          </w:tcPr>
          <w:p>
            <w:pPr>
              <w:spacing w:before="0" w:after="0" w:line="240" w:lineRule="auto"/>
              <w:jc w:val="center"/>
            </w:pPr>
            <w:r/>
            <w:r>
              <w:rPr>
                <w:rFonts w:ascii="Arial" w:hAnsi="Arial" w:eastAsia="Noto Sans CJK SC"/>
                <w:b/>
                <w:i w:val="0"/>
                <w:sz w:val="13"/>
              </w:rPr>
              <w:t>3. 忠实/准确</w:t>
            </w:r>
          </w:p>
        </w:tc>
        <w:tc>
          <w:tcPr>
            <w:tcW w:type="dxa" w:w="3311"/>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译文或系统输出与源文意义、意图和语气的对应关系</w:t>
            </w:r>
          </w:p>
        </w:tc>
        <w:tc>
          <w:tcPr>
            <w:tcW w:type="dxa" w:w="2951"/>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沟通各方的表达权与信息理解</w:t>
            </w:r>
          </w:p>
        </w:tc>
        <w:tc>
          <w:tcPr>
            <w:tcW w:type="dxa" w:w="2232"/>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转换与输出过程</w:t>
            </w:r>
          </w:p>
        </w:tc>
        <w:tc>
          <w:tcPr>
            <w:tcW w:type="dxa" w:w="3816"/>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防止增删、歪曲、误传和意义偏移</w:t>
            </w:r>
          </w:p>
        </w:tc>
        <w:tc>
          <w:tcPr>
            <w:tcW w:type="dxa" w:w="3096"/>
            <w:vAlign w:val="center"/>
            <w:tcMar>
              <w:top w:w="45" w:type="dxa"/>
              <w:start w:w="55" w:type="dxa"/>
              <w:bottom w:w="45" w:type="dxa"/>
              <w:end w:w="55" w:type="dxa"/>
            </w:tcMar>
            <w:shd w:fill="DDEBF7"/>
          </w:tcPr>
          <w:p>
            <w:pPr>
              <w:spacing w:before="0" w:after="0" w:line="240" w:lineRule="auto"/>
              <w:jc w:val="center"/>
            </w:pPr>
            <w:r/>
            <w:r>
              <w:rPr>
                <w:rFonts w:ascii="Arial" w:hAnsi="Arial" w:eastAsia="Noto Sans CJK SC"/>
                <w:b w:val="0"/>
                <w:i w:val="0"/>
                <w:sz w:val="13"/>
              </w:rPr>
              <w:t>沟通真实性与专业可靠性</w:t>
            </w:r>
          </w:p>
        </w:tc>
        <w:tc>
          <w:tcPr>
            <w:tcW w:type="dxa" w:w="2808"/>
            <w:vAlign w:val="center"/>
            <w:tcMar>
              <w:top w:w="45" w:type="dxa"/>
              <w:start w:w="55" w:type="dxa"/>
              <w:bottom w:w="45" w:type="dxa"/>
              <w:end w:w="55" w:type="dxa"/>
            </w:tcMar>
          </w:tcPr>
          <w:p>
            <w:pPr>
              <w:spacing w:before="0" w:after="0" w:line="240" w:lineRule="auto"/>
              <w:jc w:val="center"/>
            </w:pPr>
            <w:r/>
            <w:r>
              <w:rPr>
                <w:rFonts w:ascii="Arial" w:hAnsi="Arial" w:eastAsia="Noto Sans CJK SC"/>
                <w:b w:val="0"/>
                <w:i w:val="0"/>
                <w:sz w:val="13"/>
              </w:rPr>
              <w:t>真实理解与知识可靠性</w:t>
            </w:r>
          </w:p>
        </w:tc>
        <w:tc>
          <w:tcPr>
            <w:tcW w:type="dxa" w:w="2664"/>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人格尊严与自主决定；信任</w:t>
            </w:r>
          </w:p>
        </w:tc>
      </w:tr>
      <w:tr>
        <w:trPr>
          <w:cantSplit w:val="true"/>
        </w:trPr>
        <w:tc>
          <w:tcPr>
            <w:tcW w:type="dxa" w:w="1728"/>
            <w:vAlign w:val="center"/>
            <w:tcMar>
              <w:top w:w="45" w:type="dxa"/>
              <w:start w:w="55" w:type="dxa"/>
              <w:bottom w:w="45" w:type="dxa"/>
              <w:end w:w="55" w:type="dxa"/>
            </w:tcMar>
            <w:shd w:fill="F8FAFC"/>
          </w:tcPr>
          <w:p>
            <w:pPr>
              <w:spacing w:before="0" w:after="0" w:line="240" w:lineRule="auto"/>
              <w:jc w:val="center"/>
            </w:pPr>
            <w:r/>
            <w:r>
              <w:rPr>
                <w:rFonts w:ascii="Arial" w:hAnsi="Arial" w:eastAsia="Noto Sans CJK SC"/>
                <w:b/>
                <w:i w:val="0"/>
                <w:sz w:val="13"/>
              </w:rPr>
              <w:t>4. 诚信/职业操守</w:t>
            </w:r>
          </w:p>
        </w:tc>
        <w:tc>
          <w:tcPr>
            <w:tcW w:type="dxa" w:w="3311"/>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从业者或机构的一般诚实、正直与资质陈述</w:t>
            </w:r>
          </w:p>
        </w:tc>
        <w:tc>
          <w:tcPr>
            <w:tcW w:type="dxa" w:w="2951"/>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客户、职业共同体与社会公众</w:t>
            </w:r>
          </w:p>
        </w:tc>
        <w:tc>
          <w:tcPr>
            <w:tcW w:type="dxa" w:w="2232"/>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履职全过程</w:t>
            </w:r>
          </w:p>
        </w:tc>
        <w:tc>
          <w:tcPr>
            <w:tcW w:type="dxa" w:w="3816"/>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维持可依赖的职业行为、真实陈述与行业声誉</w:t>
            </w:r>
          </w:p>
        </w:tc>
        <w:tc>
          <w:tcPr>
            <w:tcW w:type="dxa" w:w="3096"/>
            <w:vAlign w:val="center"/>
            <w:tcMar>
              <w:top w:w="45" w:type="dxa"/>
              <w:start w:w="55" w:type="dxa"/>
              <w:bottom w:w="45" w:type="dxa"/>
              <w:end w:w="55" w:type="dxa"/>
            </w:tcMar>
            <w:shd w:fill="FFF2CC"/>
          </w:tcPr>
          <w:p>
            <w:pPr>
              <w:spacing w:before="0" w:after="0" w:line="240" w:lineRule="auto"/>
              <w:jc w:val="center"/>
            </w:pPr>
            <w:r/>
            <w:r>
              <w:rPr>
                <w:rFonts w:ascii="Arial" w:hAnsi="Arial" w:eastAsia="Noto Sans CJK SC"/>
                <w:b w:val="0"/>
                <w:i w:val="0"/>
                <w:sz w:val="13"/>
              </w:rPr>
              <w:t>职业诚信与合作关系</w:t>
            </w:r>
          </w:p>
        </w:tc>
        <w:tc>
          <w:tcPr>
            <w:tcW w:type="dxa" w:w="2808"/>
            <w:vAlign w:val="center"/>
            <w:tcMar>
              <w:top w:w="45" w:type="dxa"/>
              <w:start w:w="55" w:type="dxa"/>
              <w:bottom w:w="45" w:type="dxa"/>
              <w:end w:w="55" w:type="dxa"/>
            </w:tcMar>
            <w:shd w:fill="F8FAFC"/>
          </w:tcPr>
          <w:p>
            <w:pPr>
              <w:spacing w:before="0" w:after="0" w:line="240" w:lineRule="auto"/>
              <w:jc w:val="center"/>
            </w:pPr>
            <w:r/>
            <w:r>
              <w:rPr>
                <w:rFonts w:ascii="Arial" w:hAnsi="Arial" w:eastAsia="Noto Sans CJK SC"/>
                <w:b w:val="0"/>
                <w:i w:val="0"/>
                <w:sz w:val="13"/>
              </w:rPr>
              <w:t>信任、合作与共同善</w:t>
            </w:r>
          </w:p>
        </w:tc>
        <w:tc>
          <w:tcPr>
            <w:tcW w:type="dxa" w:w="266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正义、平等与公平参与；公共利益</w:t>
            </w:r>
          </w:p>
        </w:tc>
      </w:tr>
      <w:tr>
        <w:trPr>
          <w:cantSplit w:val="true"/>
        </w:trPr>
        <w:tc>
          <w:tcPr>
            <w:tcW w:type="dxa" w:w="1728"/>
            <w:vAlign w:val="center"/>
            <w:tcMar>
              <w:top w:w="45" w:type="dxa"/>
              <w:start w:w="55" w:type="dxa"/>
              <w:bottom w:w="45" w:type="dxa"/>
              <w:end w:w="55" w:type="dxa"/>
            </w:tcMar>
          </w:tcPr>
          <w:p>
            <w:pPr>
              <w:spacing w:before="0" w:after="0" w:line="240" w:lineRule="auto"/>
              <w:jc w:val="center"/>
            </w:pPr>
            <w:r/>
            <w:r>
              <w:rPr>
                <w:rFonts w:ascii="Arial" w:hAnsi="Arial" w:eastAsia="Noto Sans CJK SC"/>
                <w:b/>
                <w:i w:val="0"/>
                <w:sz w:val="13"/>
              </w:rPr>
              <w:t>5. 持续专业发展</w:t>
            </w:r>
          </w:p>
        </w:tc>
        <w:tc>
          <w:tcPr>
            <w:tcW w:type="dxa" w:w="3311"/>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知识、技能与专业能力的持续更新</w:t>
            </w:r>
          </w:p>
        </w:tc>
        <w:tc>
          <w:tcPr>
            <w:tcW w:type="dxa" w:w="2951"/>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服务对象、从业者及行业整体质量</w:t>
            </w:r>
          </w:p>
        </w:tc>
        <w:tc>
          <w:tcPr>
            <w:tcW w:type="dxa" w:w="2232"/>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资质获得后持续进行</w:t>
            </w:r>
          </w:p>
        </w:tc>
        <w:tc>
          <w:tcPr>
            <w:tcW w:type="dxa" w:w="3816"/>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防止能力老化，维持长期胜任和服务质量</w:t>
            </w:r>
          </w:p>
        </w:tc>
        <w:tc>
          <w:tcPr>
            <w:tcW w:type="dxa" w:w="3096"/>
            <w:vAlign w:val="center"/>
            <w:tcMar>
              <w:top w:w="45" w:type="dxa"/>
              <w:start w:w="55" w:type="dxa"/>
              <w:bottom w:w="45" w:type="dxa"/>
              <w:end w:w="55" w:type="dxa"/>
            </w:tcMar>
            <w:shd w:fill="DDEBF7"/>
          </w:tcPr>
          <w:p>
            <w:pPr>
              <w:spacing w:before="0" w:after="0" w:line="240" w:lineRule="auto"/>
              <w:jc w:val="center"/>
            </w:pPr>
            <w:r/>
            <w:r>
              <w:rPr>
                <w:rFonts w:ascii="Arial" w:hAnsi="Arial" w:eastAsia="Noto Sans CJK SC"/>
                <w:b w:val="0"/>
                <w:i w:val="0"/>
                <w:sz w:val="13"/>
              </w:rPr>
              <w:t>沟通真实性与专业可靠性</w:t>
            </w:r>
          </w:p>
        </w:tc>
        <w:tc>
          <w:tcPr>
            <w:tcW w:type="dxa" w:w="2808"/>
            <w:vAlign w:val="center"/>
            <w:tcMar>
              <w:top w:w="45" w:type="dxa"/>
              <w:start w:w="55" w:type="dxa"/>
              <w:bottom w:w="45" w:type="dxa"/>
              <w:end w:w="55" w:type="dxa"/>
            </w:tcMar>
          </w:tcPr>
          <w:p>
            <w:pPr>
              <w:spacing w:before="0" w:after="0" w:line="240" w:lineRule="auto"/>
              <w:jc w:val="center"/>
            </w:pPr>
            <w:r/>
            <w:r>
              <w:rPr>
                <w:rFonts w:ascii="Arial" w:hAnsi="Arial" w:eastAsia="Noto Sans CJK SC"/>
                <w:b w:val="0"/>
                <w:i w:val="0"/>
                <w:sz w:val="13"/>
              </w:rPr>
              <w:t>真实理解与知识可靠性</w:t>
            </w:r>
          </w:p>
        </w:tc>
        <w:tc>
          <w:tcPr>
            <w:tcW w:type="dxa" w:w="2664"/>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信任、合作与共同善；公共利益</w:t>
            </w:r>
          </w:p>
        </w:tc>
      </w:tr>
      <w:tr>
        <w:trPr>
          <w:cantSplit w:val="true"/>
        </w:trPr>
        <w:tc>
          <w:tcPr>
            <w:tcW w:type="dxa" w:w="1728"/>
            <w:vAlign w:val="center"/>
            <w:tcMar>
              <w:top w:w="45" w:type="dxa"/>
              <w:start w:w="55" w:type="dxa"/>
              <w:bottom w:w="45" w:type="dxa"/>
              <w:end w:w="55" w:type="dxa"/>
            </w:tcMar>
            <w:shd w:fill="F8FAFC"/>
          </w:tcPr>
          <w:p>
            <w:pPr>
              <w:spacing w:before="0" w:after="0" w:line="240" w:lineRule="auto"/>
              <w:jc w:val="center"/>
            </w:pPr>
            <w:r/>
            <w:r>
              <w:rPr>
                <w:rFonts w:ascii="Arial" w:hAnsi="Arial" w:eastAsia="Noto Sans CJK SC"/>
                <w:b/>
                <w:i w:val="0"/>
                <w:sz w:val="13"/>
              </w:rPr>
              <w:t>6. 合同/承诺遵守</w:t>
            </w:r>
          </w:p>
        </w:tc>
        <w:tc>
          <w:tcPr>
            <w:tcW w:type="dxa" w:w="3311"/>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工作内容、条件、对价的事先约定与履行</w:t>
            </w:r>
          </w:p>
        </w:tc>
        <w:tc>
          <w:tcPr>
            <w:tcW w:type="dxa" w:w="2951"/>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委托方、译者及相关机构</w:t>
            </w:r>
          </w:p>
        </w:tc>
        <w:tc>
          <w:tcPr>
            <w:tcW w:type="dxa" w:w="2232"/>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任务承接前至履约完成</w:t>
            </w:r>
          </w:p>
        </w:tc>
        <w:tc>
          <w:tcPr>
            <w:tcW w:type="dxa" w:w="3816"/>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稳定合理预期，防止擅自变更和违约</w:t>
            </w:r>
          </w:p>
        </w:tc>
        <w:tc>
          <w:tcPr>
            <w:tcW w:type="dxa" w:w="3096"/>
            <w:vAlign w:val="center"/>
            <w:tcMar>
              <w:top w:w="45" w:type="dxa"/>
              <w:start w:w="55" w:type="dxa"/>
              <w:bottom w:w="45" w:type="dxa"/>
              <w:end w:w="55" w:type="dxa"/>
            </w:tcMar>
            <w:shd w:fill="FFF2CC"/>
          </w:tcPr>
          <w:p>
            <w:pPr>
              <w:spacing w:before="0" w:after="0" w:line="240" w:lineRule="auto"/>
              <w:jc w:val="center"/>
            </w:pPr>
            <w:r/>
            <w:r>
              <w:rPr>
                <w:rFonts w:ascii="Arial" w:hAnsi="Arial" w:eastAsia="Noto Sans CJK SC"/>
                <w:b w:val="0"/>
                <w:i w:val="0"/>
                <w:sz w:val="13"/>
              </w:rPr>
              <w:t>职业诚信与合作关系</w:t>
            </w:r>
          </w:p>
        </w:tc>
        <w:tc>
          <w:tcPr>
            <w:tcW w:type="dxa" w:w="2808"/>
            <w:vAlign w:val="center"/>
            <w:tcMar>
              <w:top w:w="45" w:type="dxa"/>
              <w:start w:w="55" w:type="dxa"/>
              <w:bottom w:w="45" w:type="dxa"/>
              <w:end w:w="55" w:type="dxa"/>
            </w:tcMar>
            <w:shd w:fill="F8FAFC"/>
          </w:tcPr>
          <w:p>
            <w:pPr>
              <w:spacing w:before="0" w:after="0" w:line="240" w:lineRule="auto"/>
              <w:jc w:val="center"/>
            </w:pPr>
            <w:r/>
            <w:r>
              <w:rPr>
                <w:rFonts w:ascii="Arial" w:hAnsi="Arial" w:eastAsia="Noto Sans CJK SC"/>
                <w:b w:val="0"/>
                <w:i w:val="0"/>
                <w:sz w:val="13"/>
              </w:rPr>
              <w:t>信任、合作与共同善</w:t>
            </w:r>
          </w:p>
        </w:tc>
        <w:tc>
          <w:tcPr>
            <w:tcW w:type="dxa" w:w="266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正义、平等与公平参与；自主决定</w:t>
            </w:r>
          </w:p>
        </w:tc>
      </w:tr>
      <w:tr>
        <w:trPr>
          <w:cantSplit w:val="true"/>
        </w:trPr>
        <w:tc>
          <w:tcPr>
            <w:tcW w:type="dxa" w:w="1728"/>
            <w:vAlign w:val="center"/>
            <w:tcMar>
              <w:top w:w="45" w:type="dxa"/>
              <w:start w:w="55" w:type="dxa"/>
              <w:bottom w:w="45" w:type="dxa"/>
              <w:end w:w="55" w:type="dxa"/>
            </w:tcMar>
          </w:tcPr>
          <w:p>
            <w:pPr>
              <w:spacing w:before="0" w:after="0" w:line="240" w:lineRule="auto"/>
              <w:jc w:val="center"/>
            </w:pPr>
            <w:r/>
            <w:r>
              <w:rPr>
                <w:rFonts w:ascii="Arial" w:hAnsi="Arial" w:eastAsia="Noto Sans CJK SC"/>
                <w:b/>
                <w:i w:val="0"/>
                <w:sz w:val="13"/>
              </w:rPr>
              <w:t>7. 公平/中立</w:t>
            </w:r>
          </w:p>
        </w:tc>
        <w:tc>
          <w:tcPr>
            <w:tcW w:type="dxa" w:w="3311"/>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服务过程中对沟通各方的平等与中立对待</w:t>
            </w:r>
          </w:p>
        </w:tc>
        <w:tc>
          <w:tcPr>
            <w:tcW w:type="dxa" w:w="2951"/>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多方当事人及其程序地位</w:t>
            </w:r>
          </w:p>
        </w:tc>
        <w:tc>
          <w:tcPr>
            <w:tcW w:type="dxa" w:w="2232"/>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服务互动全过程</w:t>
            </w:r>
          </w:p>
        </w:tc>
        <w:tc>
          <w:tcPr>
            <w:tcW w:type="dxa" w:w="3816"/>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防止个人立场、偏见或偏袒影响履职</w:t>
            </w:r>
          </w:p>
        </w:tc>
        <w:tc>
          <w:tcPr>
            <w:tcW w:type="dxa" w:w="3096"/>
            <w:vAlign w:val="center"/>
            <w:tcMar>
              <w:top w:w="45" w:type="dxa"/>
              <w:start w:w="55" w:type="dxa"/>
              <w:bottom w:w="45" w:type="dxa"/>
              <w:end w:w="55" w:type="dxa"/>
            </w:tcMar>
            <w:shd w:fill="E2F0D9"/>
          </w:tcPr>
          <w:p>
            <w:pPr>
              <w:spacing w:before="0" w:after="0" w:line="240" w:lineRule="auto"/>
              <w:jc w:val="center"/>
            </w:pPr>
            <w:r/>
            <w:r>
              <w:rPr>
                <w:rFonts w:ascii="Arial" w:hAnsi="Arial" w:eastAsia="Noto Sans CJK SC"/>
                <w:b w:val="0"/>
                <w:i w:val="0"/>
                <w:sz w:val="13"/>
              </w:rPr>
              <w:t>正义、权利与公平参与</w:t>
            </w:r>
          </w:p>
        </w:tc>
        <w:tc>
          <w:tcPr>
            <w:tcW w:type="dxa" w:w="2808"/>
            <w:vAlign w:val="center"/>
            <w:tcMar>
              <w:top w:w="45" w:type="dxa"/>
              <w:start w:w="55" w:type="dxa"/>
              <w:bottom w:w="45" w:type="dxa"/>
              <w:end w:w="55" w:type="dxa"/>
            </w:tcMar>
          </w:tcPr>
          <w:p>
            <w:pPr>
              <w:spacing w:before="0" w:after="0" w:line="240" w:lineRule="auto"/>
              <w:jc w:val="center"/>
            </w:pPr>
            <w:r/>
            <w:r>
              <w:rPr>
                <w:rFonts w:ascii="Arial" w:hAnsi="Arial" w:eastAsia="Noto Sans CJK SC"/>
                <w:b w:val="0"/>
                <w:i w:val="0"/>
                <w:sz w:val="13"/>
              </w:rPr>
              <w:t>正义、平等与公平参与</w:t>
            </w:r>
          </w:p>
        </w:tc>
        <w:tc>
          <w:tcPr>
            <w:tcW w:type="dxa" w:w="2664"/>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人格尊严与自主决定；信任</w:t>
            </w:r>
          </w:p>
        </w:tc>
      </w:tr>
      <w:tr>
        <w:trPr>
          <w:cantSplit w:val="true"/>
        </w:trPr>
        <w:tc>
          <w:tcPr>
            <w:tcW w:type="dxa" w:w="1728"/>
            <w:vAlign w:val="center"/>
            <w:tcMar>
              <w:top w:w="45" w:type="dxa"/>
              <w:start w:w="55" w:type="dxa"/>
              <w:bottom w:w="45" w:type="dxa"/>
              <w:end w:w="55" w:type="dxa"/>
            </w:tcMar>
            <w:shd w:fill="F8FAFC"/>
          </w:tcPr>
          <w:p>
            <w:pPr>
              <w:spacing w:before="0" w:after="0" w:line="240" w:lineRule="auto"/>
              <w:jc w:val="center"/>
            </w:pPr>
            <w:r/>
            <w:r>
              <w:rPr>
                <w:rFonts w:ascii="Arial" w:hAnsi="Arial" w:eastAsia="Noto Sans CJK SC"/>
                <w:b/>
                <w:i w:val="0"/>
                <w:sz w:val="13"/>
              </w:rPr>
              <w:t>8. 质量保证</w:t>
            </w:r>
          </w:p>
        </w:tc>
        <w:tc>
          <w:tcPr>
            <w:tcW w:type="dxa" w:w="3311"/>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预防性质量控制流程及系统持续稳定性</w:t>
            </w:r>
          </w:p>
        </w:tc>
        <w:tc>
          <w:tcPr>
            <w:tcW w:type="dxa" w:w="2951"/>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用户、沟通各方与服务机构</w:t>
            </w:r>
          </w:p>
        </w:tc>
        <w:tc>
          <w:tcPr>
            <w:tcW w:type="dxa" w:w="2232"/>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设计、产出前控制及持续运行</w:t>
            </w:r>
          </w:p>
        </w:tc>
        <w:tc>
          <w:tcPr>
            <w:tcW w:type="dxa" w:w="3816"/>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降低错误风险，保证输出稳定、可核验和可靠</w:t>
            </w:r>
          </w:p>
        </w:tc>
        <w:tc>
          <w:tcPr>
            <w:tcW w:type="dxa" w:w="3096"/>
            <w:vAlign w:val="center"/>
            <w:tcMar>
              <w:top w:w="45" w:type="dxa"/>
              <w:start w:w="55" w:type="dxa"/>
              <w:bottom w:w="45" w:type="dxa"/>
              <w:end w:w="55" w:type="dxa"/>
            </w:tcMar>
            <w:shd w:fill="DDEBF7"/>
          </w:tcPr>
          <w:p>
            <w:pPr>
              <w:spacing w:before="0" w:after="0" w:line="240" w:lineRule="auto"/>
              <w:jc w:val="center"/>
            </w:pPr>
            <w:r/>
            <w:r>
              <w:rPr>
                <w:rFonts w:ascii="Arial" w:hAnsi="Arial" w:eastAsia="Noto Sans CJK SC"/>
                <w:b w:val="0"/>
                <w:i w:val="0"/>
                <w:sz w:val="13"/>
              </w:rPr>
              <w:t>沟通真实性与专业可靠性</w:t>
            </w:r>
          </w:p>
        </w:tc>
        <w:tc>
          <w:tcPr>
            <w:tcW w:type="dxa" w:w="2808"/>
            <w:vAlign w:val="center"/>
            <w:tcMar>
              <w:top w:w="45" w:type="dxa"/>
              <w:start w:w="55" w:type="dxa"/>
              <w:bottom w:w="45" w:type="dxa"/>
              <w:end w:w="55" w:type="dxa"/>
            </w:tcMar>
            <w:shd w:fill="F8FAFC"/>
          </w:tcPr>
          <w:p>
            <w:pPr>
              <w:spacing w:before="0" w:after="0" w:line="240" w:lineRule="auto"/>
              <w:jc w:val="center"/>
            </w:pPr>
            <w:r/>
            <w:r>
              <w:rPr>
                <w:rFonts w:ascii="Arial" w:hAnsi="Arial" w:eastAsia="Noto Sans CJK SC"/>
                <w:b w:val="0"/>
                <w:i w:val="0"/>
                <w:sz w:val="13"/>
              </w:rPr>
              <w:t>真实理解与知识可靠性</w:t>
            </w:r>
          </w:p>
        </w:tc>
        <w:tc>
          <w:tcPr>
            <w:tcW w:type="dxa" w:w="266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福祉、安全与免受伤害；信任</w:t>
            </w:r>
          </w:p>
        </w:tc>
      </w:tr>
      <w:tr>
        <w:trPr>
          <w:cantSplit w:val="true"/>
        </w:trPr>
        <w:tc>
          <w:tcPr>
            <w:tcW w:type="dxa" w:w="1728"/>
            <w:vAlign w:val="center"/>
            <w:tcMar>
              <w:top w:w="45" w:type="dxa"/>
              <w:start w:w="55" w:type="dxa"/>
              <w:bottom w:w="45" w:type="dxa"/>
              <w:end w:w="55" w:type="dxa"/>
            </w:tcMar>
          </w:tcPr>
          <w:p>
            <w:pPr>
              <w:spacing w:before="0" w:after="0" w:line="240" w:lineRule="auto"/>
              <w:jc w:val="center"/>
            </w:pPr>
            <w:r/>
            <w:r>
              <w:rPr>
                <w:rFonts w:ascii="Arial" w:hAnsi="Arial" w:eastAsia="Noto Sans CJK SC"/>
                <w:b/>
                <w:i w:val="0"/>
                <w:sz w:val="13"/>
              </w:rPr>
              <w:t>9. 文化/语言能力</w:t>
            </w:r>
          </w:p>
        </w:tc>
        <w:tc>
          <w:tcPr>
            <w:tcW w:type="dxa" w:w="3311"/>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对方言、文化背景与跨文化语境的认知和敏感性</w:t>
            </w:r>
          </w:p>
        </w:tc>
        <w:tc>
          <w:tcPr>
            <w:tcW w:type="dxa" w:w="2951"/>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不同语言文化背景的服务对象</w:t>
            </w:r>
          </w:p>
        </w:tc>
        <w:tc>
          <w:tcPr>
            <w:tcW w:type="dxa" w:w="2232"/>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履职全过程</w:t>
            </w:r>
          </w:p>
        </w:tc>
        <w:tc>
          <w:tcPr>
            <w:tcW w:type="dxa" w:w="3816"/>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避免文化误读、语境失配和交流排斥</w:t>
            </w:r>
          </w:p>
        </w:tc>
        <w:tc>
          <w:tcPr>
            <w:tcW w:type="dxa" w:w="3096"/>
            <w:vAlign w:val="center"/>
            <w:tcMar>
              <w:top w:w="45" w:type="dxa"/>
              <w:start w:w="55" w:type="dxa"/>
              <w:bottom w:w="45" w:type="dxa"/>
              <w:end w:w="55" w:type="dxa"/>
            </w:tcMar>
            <w:shd w:fill="DDEBF7"/>
          </w:tcPr>
          <w:p>
            <w:pPr>
              <w:spacing w:before="0" w:after="0" w:line="240" w:lineRule="auto"/>
              <w:jc w:val="center"/>
            </w:pPr>
            <w:r/>
            <w:r>
              <w:rPr>
                <w:rFonts w:ascii="Arial" w:hAnsi="Arial" w:eastAsia="Noto Sans CJK SC"/>
                <w:b w:val="0"/>
                <w:i w:val="0"/>
                <w:sz w:val="13"/>
              </w:rPr>
              <w:t>沟通真实性与专业可靠性</w:t>
            </w:r>
          </w:p>
        </w:tc>
        <w:tc>
          <w:tcPr>
            <w:tcW w:type="dxa" w:w="2808"/>
            <w:vAlign w:val="center"/>
            <w:tcMar>
              <w:top w:w="45" w:type="dxa"/>
              <w:start w:w="55" w:type="dxa"/>
              <w:bottom w:w="45" w:type="dxa"/>
              <w:end w:w="55" w:type="dxa"/>
            </w:tcMar>
          </w:tcPr>
          <w:p>
            <w:pPr>
              <w:spacing w:before="0" w:after="0" w:line="240" w:lineRule="auto"/>
              <w:jc w:val="center"/>
            </w:pPr>
            <w:r/>
            <w:r>
              <w:rPr>
                <w:rFonts w:ascii="Arial" w:hAnsi="Arial" w:eastAsia="Noto Sans CJK SC"/>
                <w:b w:val="0"/>
                <w:i w:val="0"/>
                <w:sz w:val="13"/>
              </w:rPr>
              <w:t>真实理解与知识可靠性</w:t>
            </w:r>
          </w:p>
        </w:tc>
        <w:tc>
          <w:tcPr>
            <w:tcW w:type="dxa" w:w="2664"/>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语言文化多样性与可持续性；公平参与</w:t>
            </w:r>
          </w:p>
        </w:tc>
      </w:tr>
      <w:tr>
        <w:trPr>
          <w:cantSplit w:val="true"/>
        </w:trPr>
        <w:tc>
          <w:tcPr>
            <w:tcW w:type="dxa" w:w="1728"/>
            <w:vAlign w:val="center"/>
            <w:tcMar>
              <w:top w:w="45" w:type="dxa"/>
              <w:start w:w="55" w:type="dxa"/>
              <w:bottom w:w="45" w:type="dxa"/>
              <w:end w:w="55" w:type="dxa"/>
            </w:tcMar>
            <w:shd w:fill="F8FAFC"/>
          </w:tcPr>
          <w:p>
            <w:pPr>
              <w:spacing w:before="0" w:after="0" w:line="240" w:lineRule="auto"/>
              <w:jc w:val="center"/>
            </w:pPr>
            <w:r/>
            <w:r>
              <w:rPr>
                <w:rFonts w:ascii="Arial" w:hAnsi="Arial" w:eastAsia="Noto Sans CJK SC"/>
                <w:b/>
                <w:i w:val="0"/>
                <w:sz w:val="13"/>
              </w:rPr>
              <w:t>10. 错误更正义务</w:t>
            </w:r>
          </w:p>
        </w:tc>
        <w:tc>
          <w:tcPr>
            <w:tcW w:type="dxa" w:w="3311"/>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已发现错误、遗漏或歧义的告知、纠正与补救</w:t>
            </w:r>
          </w:p>
        </w:tc>
        <w:tc>
          <w:tcPr>
            <w:tcW w:type="dxa" w:w="2951"/>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受影响当事人及沟通结果的完整性</w:t>
            </w:r>
          </w:p>
        </w:tc>
        <w:tc>
          <w:tcPr>
            <w:tcW w:type="dxa" w:w="2232"/>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错误发生或被发现后</w:t>
            </w:r>
          </w:p>
        </w:tc>
        <w:tc>
          <w:tcPr>
            <w:tcW w:type="dxa" w:w="3816"/>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减少错误后果，恢复信息准确性和服务可信度</w:t>
            </w:r>
          </w:p>
        </w:tc>
        <w:tc>
          <w:tcPr>
            <w:tcW w:type="dxa" w:w="3096"/>
            <w:vAlign w:val="center"/>
            <w:tcMar>
              <w:top w:w="45" w:type="dxa"/>
              <w:start w:w="55" w:type="dxa"/>
              <w:bottom w:w="45" w:type="dxa"/>
              <w:end w:w="55" w:type="dxa"/>
            </w:tcMar>
            <w:shd w:fill="DDEBF7"/>
          </w:tcPr>
          <w:p>
            <w:pPr>
              <w:spacing w:before="0" w:after="0" w:line="240" w:lineRule="auto"/>
              <w:jc w:val="center"/>
            </w:pPr>
            <w:r/>
            <w:r>
              <w:rPr>
                <w:rFonts w:ascii="Arial" w:hAnsi="Arial" w:eastAsia="Noto Sans CJK SC"/>
                <w:b w:val="0"/>
                <w:i w:val="0"/>
                <w:sz w:val="13"/>
              </w:rPr>
              <w:t>沟通真实性与专业可靠性</w:t>
            </w:r>
          </w:p>
        </w:tc>
        <w:tc>
          <w:tcPr>
            <w:tcW w:type="dxa" w:w="2808"/>
            <w:vAlign w:val="center"/>
            <w:tcMar>
              <w:top w:w="45" w:type="dxa"/>
              <w:start w:w="55" w:type="dxa"/>
              <w:bottom w:w="45" w:type="dxa"/>
              <w:end w:w="55" w:type="dxa"/>
            </w:tcMar>
            <w:shd w:fill="F8FAFC"/>
          </w:tcPr>
          <w:p>
            <w:pPr>
              <w:spacing w:before="0" w:after="0" w:line="240" w:lineRule="auto"/>
              <w:jc w:val="center"/>
            </w:pPr>
            <w:r/>
            <w:r>
              <w:rPr>
                <w:rFonts w:ascii="Arial" w:hAnsi="Arial" w:eastAsia="Noto Sans CJK SC"/>
                <w:b w:val="0"/>
                <w:i w:val="0"/>
                <w:sz w:val="13"/>
              </w:rPr>
              <w:t>真实理解与知识可靠性</w:t>
            </w:r>
          </w:p>
        </w:tc>
        <w:tc>
          <w:tcPr>
            <w:tcW w:type="dxa" w:w="266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福祉、安全与免受伤害；信任</w:t>
            </w:r>
          </w:p>
        </w:tc>
      </w:tr>
      <w:tr>
        <w:trPr>
          <w:cantSplit w:val="true"/>
        </w:trPr>
        <w:tc>
          <w:tcPr>
            <w:tcW w:type="dxa" w:w="1728"/>
            <w:vAlign w:val="center"/>
            <w:tcMar>
              <w:top w:w="45" w:type="dxa"/>
              <w:start w:w="55" w:type="dxa"/>
              <w:bottom w:w="45" w:type="dxa"/>
              <w:end w:w="55" w:type="dxa"/>
            </w:tcMar>
          </w:tcPr>
          <w:p>
            <w:pPr>
              <w:spacing w:before="0" w:after="0" w:line="240" w:lineRule="auto"/>
              <w:jc w:val="center"/>
            </w:pPr>
            <w:r/>
            <w:r>
              <w:rPr>
                <w:rFonts w:ascii="Arial" w:hAnsi="Arial" w:eastAsia="Noto Sans CJK SC"/>
                <w:b/>
                <w:i w:val="0"/>
                <w:sz w:val="13"/>
              </w:rPr>
              <w:t>11. 隐私/数据保护</w:t>
            </w:r>
          </w:p>
        </w:tc>
        <w:tc>
          <w:tcPr>
            <w:tcW w:type="dxa" w:w="3311"/>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数据收集、访问、存储、传输、保留与销毁</w:t>
            </w:r>
          </w:p>
        </w:tc>
        <w:tc>
          <w:tcPr>
            <w:tcW w:type="dxa" w:w="2951"/>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数据主体、用户及相关权利人</w:t>
            </w:r>
          </w:p>
        </w:tc>
        <w:tc>
          <w:tcPr>
            <w:tcW w:type="dxa" w:w="2232"/>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数据全生命周期</w:t>
            </w:r>
          </w:p>
        </w:tc>
        <w:tc>
          <w:tcPr>
            <w:tcW w:type="dxa" w:w="3816"/>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防止非法处理、未授权访问、泄露与技术滥用</w:t>
            </w:r>
          </w:p>
        </w:tc>
        <w:tc>
          <w:tcPr>
            <w:tcW w:type="dxa" w:w="3096"/>
            <w:vAlign w:val="center"/>
            <w:tcMar>
              <w:top w:w="45" w:type="dxa"/>
              <w:start w:w="55" w:type="dxa"/>
              <w:bottom w:w="45" w:type="dxa"/>
              <w:end w:w="55" w:type="dxa"/>
            </w:tcMar>
            <w:shd w:fill="FCE4D6"/>
          </w:tcPr>
          <w:p>
            <w:pPr>
              <w:spacing w:before="0" w:after="0" w:line="240" w:lineRule="auto"/>
              <w:jc w:val="center"/>
            </w:pPr>
            <w:r/>
            <w:r>
              <w:rPr>
                <w:rFonts w:ascii="Arial" w:hAnsi="Arial" w:eastAsia="Noto Sans CJK SC"/>
                <w:b w:val="0"/>
                <w:i w:val="0"/>
                <w:sz w:val="13"/>
              </w:rPr>
              <w:t>人格、信息与自主权保护</w:t>
            </w:r>
          </w:p>
        </w:tc>
        <w:tc>
          <w:tcPr>
            <w:tcW w:type="dxa" w:w="2808"/>
            <w:vAlign w:val="center"/>
            <w:tcMar>
              <w:top w:w="45" w:type="dxa"/>
              <w:start w:w="55" w:type="dxa"/>
              <w:bottom w:w="45" w:type="dxa"/>
              <w:end w:w="55" w:type="dxa"/>
            </w:tcMar>
          </w:tcPr>
          <w:p>
            <w:pPr>
              <w:spacing w:before="0" w:after="0" w:line="240" w:lineRule="auto"/>
              <w:jc w:val="center"/>
            </w:pPr>
            <w:r/>
            <w:r>
              <w:rPr>
                <w:rFonts w:ascii="Arial" w:hAnsi="Arial" w:eastAsia="Noto Sans CJK SC"/>
                <w:b w:val="0"/>
                <w:i w:val="0"/>
                <w:sz w:val="13"/>
              </w:rPr>
              <w:t>人格尊严与自主决定</w:t>
            </w:r>
          </w:p>
        </w:tc>
        <w:tc>
          <w:tcPr>
            <w:tcW w:type="dxa" w:w="2664"/>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福祉、安全与免受伤害；信任</w:t>
            </w:r>
          </w:p>
        </w:tc>
      </w:tr>
      <w:tr>
        <w:trPr>
          <w:cantSplit w:val="true"/>
        </w:trPr>
        <w:tc>
          <w:tcPr>
            <w:tcW w:type="dxa" w:w="1728"/>
            <w:vAlign w:val="center"/>
            <w:tcMar>
              <w:top w:w="45" w:type="dxa"/>
              <w:start w:w="55" w:type="dxa"/>
              <w:bottom w:w="45" w:type="dxa"/>
              <w:end w:w="55" w:type="dxa"/>
            </w:tcMar>
            <w:shd w:fill="F8FAFC"/>
          </w:tcPr>
          <w:p>
            <w:pPr>
              <w:spacing w:before="0" w:after="0" w:line="240" w:lineRule="auto"/>
              <w:jc w:val="center"/>
            </w:pPr>
            <w:r/>
            <w:r>
              <w:rPr>
                <w:rFonts w:ascii="Arial" w:hAnsi="Arial" w:eastAsia="Noto Sans CJK SC"/>
                <w:b/>
                <w:i w:val="0"/>
                <w:sz w:val="13"/>
              </w:rPr>
              <w:t>12. 拒绝有害工作</w:t>
            </w:r>
          </w:p>
        </w:tc>
        <w:tc>
          <w:tcPr>
            <w:tcW w:type="dxa" w:w="3311"/>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对违法、有害或高风险任务的接受、继续或退出决定</w:t>
            </w:r>
          </w:p>
        </w:tc>
        <w:tc>
          <w:tcPr>
            <w:tcW w:type="dxa" w:w="2951"/>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他人、译员自身及社会公众</w:t>
            </w:r>
          </w:p>
        </w:tc>
        <w:tc>
          <w:tcPr>
            <w:tcW w:type="dxa" w:w="2232"/>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任务承接前及履职过程中</w:t>
            </w:r>
          </w:p>
        </w:tc>
        <w:tc>
          <w:tcPr>
            <w:tcW w:type="dxa" w:w="3816"/>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阻断可预见伤害，避免参与不道德或违法用途</w:t>
            </w:r>
          </w:p>
        </w:tc>
        <w:tc>
          <w:tcPr>
            <w:tcW w:type="dxa" w:w="3096"/>
            <w:vAlign w:val="center"/>
            <w:tcMar>
              <w:top w:w="45" w:type="dxa"/>
              <w:start w:w="55" w:type="dxa"/>
              <w:bottom w:w="45" w:type="dxa"/>
              <w:end w:w="55" w:type="dxa"/>
            </w:tcMar>
            <w:shd w:fill="F4CCCC"/>
          </w:tcPr>
          <w:p>
            <w:pPr>
              <w:spacing w:before="0" w:after="0" w:line="240" w:lineRule="auto"/>
              <w:jc w:val="center"/>
            </w:pPr>
            <w:r/>
            <w:r>
              <w:rPr>
                <w:rFonts w:ascii="Arial" w:hAnsi="Arial" w:eastAsia="Noto Sans CJK SC"/>
                <w:b w:val="0"/>
                <w:i w:val="0"/>
                <w:sz w:val="13"/>
              </w:rPr>
              <w:t>避免伤害与公共责任</w:t>
            </w:r>
          </w:p>
        </w:tc>
        <w:tc>
          <w:tcPr>
            <w:tcW w:type="dxa" w:w="2808"/>
            <w:vAlign w:val="center"/>
            <w:tcMar>
              <w:top w:w="45" w:type="dxa"/>
              <w:start w:w="55" w:type="dxa"/>
              <w:bottom w:w="45" w:type="dxa"/>
              <w:end w:w="55" w:type="dxa"/>
            </w:tcMar>
            <w:shd w:fill="F8FAFC"/>
          </w:tcPr>
          <w:p>
            <w:pPr>
              <w:spacing w:before="0" w:after="0" w:line="240" w:lineRule="auto"/>
              <w:jc w:val="center"/>
            </w:pPr>
            <w:r/>
            <w:r>
              <w:rPr>
                <w:rFonts w:ascii="Arial" w:hAnsi="Arial" w:eastAsia="Noto Sans CJK SC"/>
                <w:b w:val="0"/>
                <w:i w:val="0"/>
                <w:sz w:val="13"/>
              </w:rPr>
              <w:t>福祉、安全与免受伤害</w:t>
            </w:r>
          </w:p>
        </w:tc>
        <w:tc>
          <w:tcPr>
            <w:tcW w:type="dxa" w:w="266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信任、合作与共同善；职业诚信</w:t>
            </w:r>
          </w:p>
        </w:tc>
      </w:tr>
      <w:tr>
        <w:trPr>
          <w:cantSplit w:val="true"/>
        </w:trPr>
        <w:tc>
          <w:tcPr>
            <w:tcW w:type="dxa" w:w="1728"/>
            <w:vAlign w:val="center"/>
            <w:tcMar>
              <w:top w:w="45" w:type="dxa"/>
              <w:start w:w="55" w:type="dxa"/>
              <w:bottom w:w="45" w:type="dxa"/>
              <w:end w:w="55" w:type="dxa"/>
            </w:tcMar>
          </w:tcPr>
          <w:p>
            <w:pPr>
              <w:spacing w:before="0" w:after="0" w:line="240" w:lineRule="auto"/>
              <w:jc w:val="center"/>
            </w:pPr>
            <w:r/>
            <w:r>
              <w:rPr>
                <w:rFonts w:ascii="Arial" w:hAnsi="Arial" w:eastAsia="Noto Sans CJK SC"/>
                <w:b/>
                <w:i w:val="0"/>
                <w:sz w:val="13"/>
              </w:rPr>
              <w:t>13. 社会责任</w:t>
            </w:r>
          </w:p>
        </w:tc>
        <w:tc>
          <w:tcPr>
            <w:tcW w:type="dxa" w:w="3311"/>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技术或服务对社会、环境、公共利益和国家安全的影响</w:t>
            </w:r>
          </w:p>
        </w:tc>
        <w:tc>
          <w:tcPr>
            <w:tcW w:type="dxa" w:w="2951"/>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社会公众、环境、语言共同体及未来利益相关者</w:t>
            </w:r>
          </w:p>
        </w:tc>
        <w:tc>
          <w:tcPr>
            <w:tcW w:type="dxa" w:w="2232"/>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设计、采购、部署与使用全过程</w:t>
            </w:r>
          </w:p>
        </w:tc>
        <w:tc>
          <w:tcPr>
            <w:tcW w:type="dxa" w:w="3816"/>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把责任范围从交易双方扩展到社会整体和长期后果</w:t>
            </w:r>
          </w:p>
        </w:tc>
        <w:tc>
          <w:tcPr>
            <w:tcW w:type="dxa" w:w="3096"/>
            <w:vAlign w:val="center"/>
            <w:tcMar>
              <w:top w:w="45" w:type="dxa"/>
              <w:start w:w="55" w:type="dxa"/>
              <w:bottom w:w="45" w:type="dxa"/>
              <w:end w:w="55" w:type="dxa"/>
            </w:tcMar>
            <w:shd w:fill="F4CCCC"/>
          </w:tcPr>
          <w:p>
            <w:pPr>
              <w:spacing w:before="0" w:after="0" w:line="240" w:lineRule="auto"/>
              <w:jc w:val="center"/>
            </w:pPr>
            <w:r/>
            <w:r>
              <w:rPr>
                <w:rFonts w:ascii="Arial" w:hAnsi="Arial" w:eastAsia="Noto Sans CJK SC"/>
                <w:b w:val="0"/>
                <w:i w:val="0"/>
                <w:sz w:val="13"/>
              </w:rPr>
              <w:t>避免伤害与公共责任</w:t>
            </w:r>
          </w:p>
        </w:tc>
        <w:tc>
          <w:tcPr>
            <w:tcW w:type="dxa" w:w="2808"/>
            <w:vAlign w:val="center"/>
            <w:tcMar>
              <w:top w:w="45" w:type="dxa"/>
              <w:start w:w="55" w:type="dxa"/>
              <w:bottom w:w="45" w:type="dxa"/>
              <w:end w:w="55" w:type="dxa"/>
            </w:tcMar>
          </w:tcPr>
          <w:p>
            <w:pPr>
              <w:spacing w:before="0" w:after="0" w:line="240" w:lineRule="auto"/>
              <w:jc w:val="center"/>
            </w:pPr>
            <w:r/>
            <w:r>
              <w:rPr>
                <w:rFonts w:ascii="Arial" w:hAnsi="Arial" w:eastAsia="Noto Sans CJK SC"/>
                <w:b w:val="0"/>
                <w:i w:val="0"/>
                <w:sz w:val="13"/>
              </w:rPr>
              <w:t>信任、合作与共同善</w:t>
            </w:r>
          </w:p>
        </w:tc>
        <w:tc>
          <w:tcPr>
            <w:tcW w:type="dxa" w:w="2664"/>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福祉、安全与免受伤害；语言文化多样性</w:t>
            </w:r>
          </w:p>
        </w:tc>
      </w:tr>
      <w:tr>
        <w:trPr>
          <w:cantSplit w:val="true"/>
        </w:trPr>
        <w:tc>
          <w:tcPr>
            <w:tcW w:type="dxa" w:w="1728"/>
            <w:vAlign w:val="center"/>
            <w:tcMar>
              <w:top w:w="45" w:type="dxa"/>
              <w:start w:w="55" w:type="dxa"/>
              <w:bottom w:w="45" w:type="dxa"/>
              <w:end w:w="55" w:type="dxa"/>
            </w:tcMar>
            <w:shd w:fill="F8FAFC"/>
          </w:tcPr>
          <w:p>
            <w:pPr>
              <w:spacing w:before="0" w:after="0" w:line="240" w:lineRule="auto"/>
              <w:jc w:val="center"/>
            </w:pPr>
            <w:r/>
            <w:r>
              <w:rPr>
                <w:rFonts w:ascii="Arial" w:hAnsi="Arial" w:eastAsia="Noto Sans CJK SC"/>
                <w:b/>
                <w:i w:val="0"/>
                <w:sz w:val="13"/>
              </w:rPr>
              <w:t>14. 同业团结/合作</w:t>
            </w:r>
          </w:p>
        </w:tc>
        <w:tc>
          <w:tcPr>
            <w:tcW w:type="dxa" w:w="3311"/>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译者、厂商与同行之间的互助、公平竞争和行业关系</w:t>
            </w:r>
          </w:p>
        </w:tc>
        <w:tc>
          <w:tcPr>
            <w:tcW w:type="dxa" w:w="2951"/>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同行、行业共同体及新人</w:t>
            </w:r>
          </w:p>
        </w:tc>
        <w:tc>
          <w:tcPr>
            <w:tcW w:type="dxa" w:w="2232"/>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职业交往全过程</w:t>
            </w:r>
          </w:p>
        </w:tc>
        <w:tc>
          <w:tcPr>
            <w:tcW w:type="dxa" w:w="3816"/>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维持公平、互助、可持续的职业生态</w:t>
            </w:r>
          </w:p>
        </w:tc>
        <w:tc>
          <w:tcPr>
            <w:tcW w:type="dxa" w:w="3096"/>
            <w:vAlign w:val="center"/>
            <w:tcMar>
              <w:top w:w="45" w:type="dxa"/>
              <w:start w:w="55" w:type="dxa"/>
              <w:bottom w:w="45" w:type="dxa"/>
              <w:end w:w="55" w:type="dxa"/>
            </w:tcMar>
            <w:shd w:fill="FFF2CC"/>
          </w:tcPr>
          <w:p>
            <w:pPr>
              <w:spacing w:before="0" w:after="0" w:line="240" w:lineRule="auto"/>
              <w:jc w:val="center"/>
            </w:pPr>
            <w:r/>
            <w:r>
              <w:rPr>
                <w:rFonts w:ascii="Arial" w:hAnsi="Arial" w:eastAsia="Noto Sans CJK SC"/>
                <w:b w:val="0"/>
                <w:i w:val="0"/>
                <w:sz w:val="13"/>
              </w:rPr>
              <w:t>职业诚信与合作关系</w:t>
            </w:r>
          </w:p>
        </w:tc>
        <w:tc>
          <w:tcPr>
            <w:tcW w:type="dxa" w:w="2808"/>
            <w:vAlign w:val="center"/>
            <w:tcMar>
              <w:top w:w="45" w:type="dxa"/>
              <w:start w:w="55" w:type="dxa"/>
              <w:bottom w:w="45" w:type="dxa"/>
              <w:end w:w="55" w:type="dxa"/>
            </w:tcMar>
            <w:shd w:fill="F8FAFC"/>
          </w:tcPr>
          <w:p>
            <w:pPr>
              <w:spacing w:before="0" w:after="0" w:line="240" w:lineRule="auto"/>
              <w:jc w:val="center"/>
            </w:pPr>
            <w:r/>
            <w:r>
              <w:rPr>
                <w:rFonts w:ascii="Arial" w:hAnsi="Arial" w:eastAsia="Noto Sans CJK SC"/>
                <w:b w:val="0"/>
                <w:i w:val="0"/>
                <w:sz w:val="13"/>
              </w:rPr>
              <w:t>信任、合作与共同善</w:t>
            </w:r>
          </w:p>
        </w:tc>
        <w:tc>
          <w:tcPr>
            <w:tcW w:type="dxa" w:w="266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正义、平等与公平参与；专业发展</w:t>
            </w:r>
          </w:p>
        </w:tc>
      </w:tr>
      <w:tr>
        <w:trPr>
          <w:cantSplit w:val="true"/>
        </w:trPr>
        <w:tc>
          <w:tcPr>
            <w:tcW w:type="dxa" w:w="1728"/>
            <w:vAlign w:val="center"/>
            <w:tcMar>
              <w:top w:w="45" w:type="dxa"/>
              <w:start w:w="55" w:type="dxa"/>
              <w:bottom w:w="45" w:type="dxa"/>
              <w:end w:w="55" w:type="dxa"/>
            </w:tcMar>
          </w:tcPr>
          <w:p>
            <w:pPr>
              <w:spacing w:before="0" w:after="0" w:line="240" w:lineRule="auto"/>
              <w:jc w:val="center"/>
            </w:pPr>
            <w:r/>
            <w:r>
              <w:rPr>
                <w:rFonts w:ascii="Arial" w:hAnsi="Arial" w:eastAsia="Noto Sans CJK SC"/>
                <w:b/>
                <w:i w:val="0"/>
                <w:sz w:val="13"/>
              </w:rPr>
              <w:t>15. 利益冲突披露</w:t>
            </w:r>
          </w:p>
        </w:tc>
        <w:tc>
          <w:tcPr>
            <w:tcW w:type="dxa" w:w="3311"/>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个人或商业利益关联的披露、回避与管理</w:t>
            </w:r>
          </w:p>
        </w:tc>
        <w:tc>
          <w:tcPr>
            <w:tcW w:type="dxa" w:w="2951"/>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服务各方及专业判断的公正性</w:t>
            </w:r>
          </w:p>
        </w:tc>
        <w:tc>
          <w:tcPr>
            <w:tcW w:type="dxa" w:w="2232"/>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任务承接前及履职过程中</w:t>
            </w:r>
          </w:p>
        </w:tc>
        <w:tc>
          <w:tcPr>
            <w:tcW w:type="dxa" w:w="3816"/>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防止私人利益扭曲专业判断和服务结果</w:t>
            </w:r>
          </w:p>
        </w:tc>
        <w:tc>
          <w:tcPr>
            <w:tcW w:type="dxa" w:w="3096"/>
            <w:vAlign w:val="center"/>
            <w:tcMar>
              <w:top w:w="45" w:type="dxa"/>
              <w:start w:w="55" w:type="dxa"/>
              <w:bottom w:w="45" w:type="dxa"/>
              <w:end w:w="55" w:type="dxa"/>
            </w:tcMar>
            <w:shd w:fill="FFF2CC"/>
          </w:tcPr>
          <w:p>
            <w:pPr>
              <w:spacing w:before="0" w:after="0" w:line="240" w:lineRule="auto"/>
              <w:jc w:val="center"/>
            </w:pPr>
            <w:r/>
            <w:r>
              <w:rPr>
                <w:rFonts w:ascii="Arial" w:hAnsi="Arial" w:eastAsia="Noto Sans CJK SC"/>
                <w:b w:val="0"/>
                <w:i w:val="0"/>
                <w:sz w:val="13"/>
              </w:rPr>
              <w:t>职业诚信与合作关系</w:t>
            </w:r>
          </w:p>
        </w:tc>
        <w:tc>
          <w:tcPr>
            <w:tcW w:type="dxa" w:w="2808"/>
            <w:vAlign w:val="center"/>
            <w:tcMar>
              <w:top w:w="45" w:type="dxa"/>
              <w:start w:w="55" w:type="dxa"/>
              <w:bottom w:w="45" w:type="dxa"/>
              <w:end w:w="55" w:type="dxa"/>
            </w:tcMar>
          </w:tcPr>
          <w:p>
            <w:pPr>
              <w:spacing w:before="0" w:after="0" w:line="240" w:lineRule="auto"/>
              <w:jc w:val="center"/>
            </w:pPr>
            <w:r/>
            <w:r>
              <w:rPr>
                <w:rFonts w:ascii="Arial" w:hAnsi="Arial" w:eastAsia="Noto Sans CJK SC"/>
                <w:b w:val="0"/>
                <w:i w:val="0"/>
                <w:sz w:val="13"/>
              </w:rPr>
              <w:t>正义、平等与公平参与</w:t>
            </w:r>
          </w:p>
        </w:tc>
        <w:tc>
          <w:tcPr>
            <w:tcW w:type="dxa" w:w="2664"/>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信任、合作与共同善；职业诚信</w:t>
            </w:r>
          </w:p>
        </w:tc>
      </w:tr>
      <w:tr>
        <w:trPr>
          <w:cantSplit w:val="true"/>
        </w:trPr>
        <w:tc>
          <w:tcPr>
            <w:tcW w:type="dxa" w:w="1728"/>
            <w:vAlign w:val="center"/>
            <w:tcMar>
              <w:top w:w="45" w:type="dxa"/>
              <w:start w:w="55" w:type="dxa"/>
              <w:bottom w:w="45" w:type="dxa"/>
              <w:end w:w="55" w:type="dxa"/>
            </w:tcMar>
            <w:shd w:fill="F8FAFC"/>
          </w:tcPr>
          <w:p>
            <w:pPr>
              <w:spacing w:before="0" w:after="0" w:line="240" w:lineRule="auto"/>
              <w:jc w:val="center"/>
            </w:pPr>
            <w:r/>
            <w:r>
              <w:rPr>
                <w:rFonts w:ascii="Arial" w:hAnsi="Arial" w:eastAsia="Noto Sans CJK SC"/>
                <w:b/>
                <w:i w:val="0"/>
                <w:sz w:val="13"/>
              </w:rPr>
              <w:t>16. 透明度</w:t>
            </w:r>
          </w:p>
        </w:tc>
        <w:tc>
          <w:tcPr>
            <w:tcW w:type="dxa" w:w="3311"/>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影响成果、风险或系统能力边界的信息披露</w:t>
            </w:r>
          </w:p>
        </w:tc>
        <w:tc>
          <w:tcPr>
            <w:tcW w:type="dxa" w:w="2951"/>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用户、客户与受影响当事人</w:t>
            </w:r>
          </w:p>
        </w:tc>
        <w:tc>
          <w:tcPr>
            <w:tcW w:type="dxa" w:w="2232"/>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使用前、服务中及重大变更时</w:t>
            </w:r>
          </w:p>
        </w:tc>
        <w:tc>
          <w:tcPr>
            <w:tcW w:type="dxa" w:w="3816"/>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使相关方了解关键事实、能力限制和潜在风险</w:t>
            </w:r>
          </w:p>
        </w:tc>
        <w:tc>
          <w:tcPr>
            <w:tcW w:type="dxa" w:w="3096"/>
            <w:vAlign w:val="center"/>
            <w:tcMar>
              <w:top w:w="45" w:type="dxa"/>
              <w:start w:w="55" w:type="dxa"/>
              <w:bottom w:w="45" w:type="dxa"/>
              <w:end w:w="55" w:type="dxa"/>
            </w:tcMar>
            <w:shd w:fill="E4DFEC"/>
          </w:tcPr>
          <w:p>
            <w:pPr>
              <w:spacing w:before="0" w:after="0" w:line="240" w:lineRule="auto"/>
              <w:jc w:val="center"/>
            </w:pPr>
            <w:r/>
            <w:r>
              <w:rPr>
                <w:rFonts w:ascii="Arial" w:hAnsi="Arial" w:eastAsia="Noto Sans CJK SC"/>
                <w:b w:val="0"/>
                <w:i w:val="0"/>
                <w:sz w:val="13"/>
              </w:rPr>
              <w:t>透明、技术控制与责任治理</w:t>
            </w:r>
          </w:p>
        </w:tc>
        <w:tc>
          <w:tcPr>
            <w:tcW w:type="dxa" w:w="2808"/>
            <w:vAlign w:val="center"/>
            <w:tcMar>
              <w:top w:w="45" w:type="dxa"/>
              <w:start w:w="55" w:type="dxa"/>
              <w:bottom w:w="45" w:type="dxa"/>
              <w:end w:w="55" w:type="dxa"/>
            </w:tcMar>
            <w:shd w:fill="F8FAFC"/>
          </w:tcPr>
          <w:p>
            <w:pPr>
              <w:spacing w:before="0" w:after="0" w:line="240" w:lineRule="auto"/>
              <w:jc w:val="center"/>
            </w:pPr>
            <w:r/>
            <w:r>
              <w:rPr>
                <w:rFonts w:ascii="Arial" w:hAnsi="Arial" w:eastAsia="Noto Sans CJK SC"/>
                <w:b w:val="0"/>
                <w:i w:val="0"/>
                <w:sz w:val="13"/>
              </w:rPr>
              <w:t>人格尊严与自主决定</w:t>
            </w:r>
          </w:p>
        </w:tc>
        <w:tc>
          <w:tcPr>
            <w:tcW w:type="dxa" w:w="266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信任、合作与共同善；正义与问责</w:t>
            </w:r>
          </w:p>
        </w:tc>
      </w:tr>
      <w:tr>
        <w:trPr>
          <w:cantSplit w:val="true"/>
        </w:trPr>
        <w:tc>
          <w:tcPr>
            <w:tcW w:type="dxa" w:w="1728"/>
            <w:vAlign w:val="center"/>
            <w:tcMar>
              <w:top w:w="45" w:type="dxa"/>
              <w:start w:w="55" w:type="dxa"/>
              <w:bottom w:w="45" w:type="dxa"/>
              <w:end w:w="55" w:type="dxa"/>
            </w:tcMar>
          </w:tcPr>
          <w:p>
            <w:pPr>
              <w:spacing w:before="0" w:after="0" w:line="240" w:lineRule="auto"/>
              <w:jc w:val="center"/>
            </w:pPr>
            <w:r/>
            <w:r>
              <w:rPr>
                <w:rFonts w:ascii="Arial" w:hAnsi="Arial" w:eastAsia="Noto Sans CJK SC"/>
                <w:b/>
                <w:i w:val="0"/>
                <w:sz w:val="13"/>
              </w:rPr>
              <w:t>17. 知识产权保护</w:t>
            </w:r>
          </w:p>
        </w:tc>
        <w:tc>
          <w:tcPr>
            <w:tcW w:type="dxa" w:w="3311"/>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第三方作品、数据和内容的授权使用及版权合规</w:t>
            </w:r>
          </w:p>
        </w:tc>
        <w:tc>
          <w:tcPr>
            <w:tcW w:type="dxa" w:w="2951"/>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原作者、数据提供者及其他权利人</w:t>
            </w:r>
          </w:p>
        </w:tc>
        <w:tc>
          <w:tcPr>
            <w:tcW w:type="dxa" w:w="2232"/>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数据获取、训练、翻译与传播过程</w:t>
            </w:r>
          </w:p>
        </w:tc>
        <w:tc>
          <w:tcPr>
            <w:tcW w:type="dxa" w:w="3816"/>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防止未经授权使用、复制和侵权</w:t>
            </w:r>
          </w:p>
        </w:tc>
        <w:tc>
          <w:tcPr>
            <w:tcW w:type="dxa" w:w="3096"/>
            <w:vAlign w:val="center"/>
            <w:tcMar>
              <w:top w:w="45" w:type="dxa"/>
              <w:start w:w="55" w:type="dxa"/>
              <w:bottom w:w="45" w:type="dxa"/>
              <w:end w:w="55" w:type="dxa"/>
            </w:tcMar>
            <w:shd w:fill="E2F0D9"/>
          </w:tcPr>
          <w:p>
            <w:pPr>
              <w:spacing w:before="0" w:after="0" w:line="240" w:lineRule="auto"/>
              <w:jc w:val="center"/>
            </w:pPr>
            <w:r/>
            <w:r>
              <w:rPr>
                <w:rFonts w:ascii="Arial" w:hAnsi="Arial" w:eastAsia="Noto Sans CJK SC"/>
                <w:b w:val="0"/>
                <w:i w:val="0"/>
                <w:sz w:val="13"/>
              </w:rPr>
              <w:t>正义、权利与公平参与</w:t>
            </w:r>
          </w:p>
        </w:tc>
        <w:tc>
          <w:tcPr>
            <w:tcW w:type="dxa" w:w="2808"/>
            <w:vAlign w:val="center"/>
            <w:tcMar>
              <w:top w:w="45" w:type="dxa"/>
              <w:start w:w="55" w:type="dxa"/>
              <w:bottom w:w="45" w:type="dxa"/>
              <w:end w:w="55" w:type="dxa"/>
            </w:tcMar>
          </w:tcPr>
          <w:p>
            <w:pPr>
              <w:spacing w:before="0" w:after="0" w:line="240" w:lineRule="auto"/>
              <w:jc w:val="center"/>
            </w:pPr>
            <w:r/>
            <w:r>
              <w:rPr>
                <w:rFonts w:ascii="Arial" w:hAnsi="Arial" w:eastAsia="Noto Sans CJK SC"/>
                <w:b w:val="0"/>
                <w:i w:val="0"/>
                <w:sz w:val="13"/>
              </w:rPr>
              <w:t>正义、平等与公平参与</w:t>
            </w:r>
          </w:p>
        </w:tc>
        <w:tc>
          <w:tcPr>
            <w:tcW w:type="dxa" w:w="2664"/>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信任、合作与共同善；文化可持续性</w:t>
            </w:r>
          </w:p>
        </w:tc>
      </w:tr>
      <w:tr>
        <w:trPr>
          <w:cantSplit w:val="true"/>
        </w:trPr>
        <w:tc>
          <w:tcPr>
            <w:tcW w:type="dxa" w:w="1728"/>
            <w:vAlign w:val="center"/>
            <w:tcMar>
              <w:top w:w="45" w:type="dxa"/>
              <w:start w:w="55" w:type="dxa"/>
              <w:bottom w:w="45" w:type="dxa"/>
              <w:end w:w="55" w:type="dxa"/>
            </w:tcMar>
            <w:shd w:fill="F8FAFC"/>
          </w:tcPr>
          <w:p>
            <w:pPr>
              <w:spacing w:before="0" w:after="0" w:line="240" w:lineRule="auto"/>
              <w:jc w:val="center"/>
            </w:pPr>
            <w:r/>
            <w:r>
              <w:rPr>
                <w:rFonts w:ascii="Arial" w:hAnsi="Arial" w:eastAsia="Noto Sans CJK SC"/>
                <w:b/>
                <w:i w:val="0"/>
                <w:sz w:val="13"/>
              </w:rPr>
              <w:t>18. 技术使用规范</w:t>
            </w:r>
          </w:p>
        </w:tc>
        <w:tc>
          <w:tcPr>
            <w:tcW w:type="dxa" w:w="3311"/>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译者或厂商选择、使用和披露翻译技术的行为</w:t>
            </w:r>
          </w:p>
        </w:tc>
        <w:tc>
          <w:tcPr>
            <w:tcW w:type="dxa" w:w="2951"/>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客户、用户、从业者及职业实践</w:t>
            </w:r>
          </w:p>
        </w:tc>
        <w:tc>
          <w:tcPr>
            <w:tcW w:type="dxa" w:w="2232"/>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工具选择与使用全过程</w:t>
            </w:r>
          </w:p>
        </w:tc>
        <w:tc>
          <w:tcPr>
            <w:tcW w:type="dxa" w:w="3816"/>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保证技术使用适当、相称、可说明并受专业判断约束</w:t>
            </w:r>
          </w:p>
        </w:tc>
        <w:tc>
          <w:tcPr>
            <w:tcW w:type="dxa" w:w="3096"/>
            <w:vAlign w:val="center"/>
            <w:tcMar>
              <w:top w:w="45" w:type="dxa"/>
              <w:start w:w="55" w:type="dxa"/>
              <w:bottom w:w="45" w:type="dxa"/>
              <w:end w:w="55" w:type="dxa"/>
            </w:tcMar>
            <w:shd w:fill="E4DFEC"/>
          </w:tcPr>
          <w:p>
            <w:pPr>
              <w:spacing w:before="0" w:after="0" w:line="240" w:lineRule="auto"/>
              <w:jc w:val="center"/>
            </w:pPr>
            <w:r/>
            <w:r>
              <w:rPr>
                <w:rFonts w:ascii="Arial" w:hAnsi="Arial" w:eastAsia="Noto Sans CJK SC"/>
                <w:b w:val="0"/>
                <w:i w:val="0"/>
                <w:sz w:val="13"/>
              </w:rPr>
              <w:t>透明、技术控制与责任治理</w:t>
            </w:r>
          </w:p>
        </w:tc>
        <w:tc>
          <w:tcPr>
            <w:tcW w:type="dxa" w:w="2808"/>
            <w:vAlign w:val="center"/>
            <w:tcMar>
              <w:top w:w="45" w:type="dxa"/>
              <w:start w:w="55" w:type="dxa"/>
              <w:bottom w:w="45" w:type="dxa"/>
              <w:end w:w="55" w:type="dxa"/>
            </w:tcMar>
            <w:shd w:fill="F8FAFC"/>
          </w:tcPr>
          <w:p>
            <w:pPr>
              <w:spacing w:before="0" w:after="0" w:line="240" w:lineRule="auto"/>
              <w:jc w:val="center"/>
            </w:pPr>
            <w:r/>
            <w:r>
              <w:rPr>
                <w:rFonts w:ascii="Arial" w:hAnsi="Arial" w:eastAsia="Noto Sans CJK SC"/>
                <w:b w:val="0"/>
                <w:i w:val="0"/>
                <w:sz w:val="13"/>
              </w:rPr>
              <w:t>福祉、安全与免受伤害</w:t>
            </w:r>
          </w:p>
        </w:tc>
        <w:tc>
          <w:tcPr>
            <w:tcW w:type="dxa" w:w="266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人格尊严与自主决定；信任</w:t>
            </w:r>
          </w:p>
        </w:tc>
      </w:tr>
      <w:tr>
        <w:trPr>
          <w:cantSplit w:val="true"/>
        </w:trPr>
        <w:tc>
          <w:tcPr>
            <w:tcW w:type="dxa" w:w="1728"/>
            <w:vAlign w:val="center"/>
            <w:tcMar>
              <w:top w:w="45" w:type="dxa"/>
              <w:start w:w="55" w:type="dxa"/>
              <w:bottom w:w="45" w:type="dxa"/>
              <w:end w:w="55" w:type="dxa"/>
            </w:tcMar>
          </w:tcPr>
          <w:p>
            <w:pPr>
              <w:spacing w:before="0" w:after="0" w:line="240" w:lineRule="auto"/>
              <w:jc w:val="center"/>
            </w:pPr>
            <w:r/>
            <w:r>
              <w:rPr>
                <w:rFonts w:ascii="Arial" w:hAnsi="Arial" w:eastAsia="Noto Sans CJK SC"/>
                <w:b/>
                <w:i w:val="0"/>
                <w:sz w:val="13"/>
              </w:rPr>
              <w:t>19. 角色界限</w:t>
            </w:r>
          </w:p>
        </w:tc>
        <w:tc>
          <w:tcPr>
            <w:tcW w:type="dxa" w:w="3311"/>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译员在服务过程中的权限范围及角色转换</w:t>
            </w:r>
          </w:p>
        </w:tc>
        <w:tc>
          <w:tcPr>
            <w:tcW w:type="dxa" w:w="2951"/>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当事人、沟通过程与专业关系</w:t>
            </w:r>
          </w:p>
        </w:tc>
        <w:tc>
          <w:tcPr>
            <w:tcW w:type="dxa" w:w="2232"/>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服务互动全过程</w:t>
            </w:r>
          </w:p>
        </w:tc>
        <w:tc>
          <w:tcPr>
            <w:tcW w:type="dxa" w:w="3816"/>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防止越权、角色混淆和对当事人决策的不当干预</w:t>
            </w:r>
          </w:p>
        </w:tc>
        <w:tc>
          <w:tcPr>
            <w:tcW w:type="dxa" w:w="3096"/>
            <w:vAlign w:val="center"/>
            <w:tcMar>
              <w:top w:w="45" w:type="dxa"/>
              <w:start w:w="55" w:type="dxa"/>
              <w:bottom w:w="45" w:type="dxa"/>
              <w:end w:w="55" w:type="dxa"/>
            </w:tcMar>
            <w:shd w:fill="FCE4D6"/>
          </w:tcPr>
          <w:p>
            <w:pPr>
              <w:spacing w:before="0" w:after="0" w:line="240" w:lineRule="auto"/>
              <w:jc w:val="center"/>
            </w:pPr>
            <w:r/>
            <w:r>
              <w:rPr>
                <w:rFonts w:ascii="Arial" w:hAnsi="Arial" w:eastAsia="Noto Sans CJK SC"/>
                <w:b w:val="0"/>
                <w:i w:val="0"/>
                <w:sz w:val="13"/>
              </w:rPr>
              <w:t>人格、信息与自主权保护</w:t>
            </w:r>
          </w:p>
        </w:tc>
        <w:tc>
          <w:tcPr>
            <w:tcW w:type="dxa" w:w="2808"/>
            <w:vAlign w:val="center"/>
            <w:tcMar>
              <w:top w:w="45" w:type="dxa"/>
              <w:start w:w="55" w:type="dxa"/>
              <w:bottom w:w="45" w:type="dxa"/>
              <w:end w:w="55" w:type="dxa"/>
            </w:tcMar>
          </w:tcPr>
          <w:p>
            <w:pPr>
              <w:spacing w:before="0" w:after="0" w:line="240" w:lineRule="auto"/>
              <w:jc w:val="center"/>
            </w:pPr>
            <w:r/>
            <w:r>
              <w:rPr>
                <w:rFonts w:ascii="Arial" w:hAnsi="Arial" w:eastAsia="Noto Sans CJK SC"/>
                <w:b w:val="0"/>
                <w:i w:val="0"/>
                <w:sz w:val="13"/>
              </w:rPr>
              <w:t>人格尊严与自主决定</w:t>
            </w:r>
          </w:p>
        </w:tc>
        <w:tc>
          <w:tcPr>
            <w:tcW w:type="dxa" w:w="2664"/>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信任、合作与共同善；公平</w:t>
            </w:r>
          </w:p>
        </w:tc>
      </w:tr>
      <w:tr>
        <w:trPr>
          <w:cantSplit w:val="true"/>
        </w:trPr>
        <w:tc>
          <w:tcPr>
            <w:tcW w:type="dxa" w:w="1728"/>
            <w:vAlign w:val="center"/>
            <w:tcMar>
              <w:top w:w="45" w:type="dxa"/>
              <w:start w:w="55" w:type="dxa"/>
              <w:bottom w:w="45" w:type="dxa"/>
              <w:end w:w="55" w:type="dxa"/>
            </w:tcMar>
            <w:shd w:fill="F8FAFC"/>
          </w:tcPr>
          <w:p>
            <w:pPr>
              <w:spacing w:before="0" w:after="0" w:line="240" w:lineRule="auto"/>
              <w:jc w:val="center"/>
            </w:pPr>
            <w:r/>
            <w:r>
              <w:rPr>
                <w:rFonts w:ascii="Arial" w:hAnsi="Arial" w:eastAsia="Noto Sans CJK SC"/>
                <w:b/>
                <w:i w:val="0"/>
                <w:sz w:val="13"/>
              </w:rPr>
              <w:t>20. 公平报酬</w:t>
            </w:r>
          </w:p>
        </w:tc>
        <w:tc>
          <w:tcPr>
            <w:tcW w:type="dxa" w:w="3311"/>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报酬金额、支付条件及分包链条中的劳动待遇</w:t>
            </w:r>
          </w:p>
        </w:tc>
        <w:tc>
          <w:tcPr>
            <w:tcW w:type="dxa" w:w="2951"/>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译者、雇员及下游服务提供者</w:t>
            </w:r>
          </w:p>
        </w:tc>
        <w:tc>
          <w:tcPr>
            <w:tcW w:type="dxa" w:w="2232"/>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合同形成、履约与支付阶段</w:t>
            </w:r>
          </w:p>
        </w:tc>
        <w:tc>
          <w:tcPr>
            <w:tcW w:type="dxa" w:w="3816"/>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保障劳动成果获得合理回报，防止压价和拖欠</w:t>
            </w:r>
          </w:p>
        </w:tc>
        <w:tc>
          <w:tcPr>
            <w:tcW w:type="dxa" w:w="3096"/>
            <w:vAlign w:val="center"/>
            <w:tcMar>
              <w:top w:w="45" w:type="dxa"/>
              <w:start w:w="55" w:type="dxa"/>
              <w:bottom w:w="45" w:type="dxa"/>
              <w:end w:w="55" w:type="dxa"/>
            </w:tcMar>
            <w:shd w:fill="E2F0D9"/>
          </w:tcPr>
          <w:p>
            <w:pPr>
              <w:spacing w:before="0" w:after="0" w:line="240" w:lineRule="auto"/>
              <w:jc w:val="center"/>
            </w:pPr>
            <w:r/>
            <w:r>
              <w:rPr>
                <w:rFonts w:ascii="Arial" w:hAnsi="Arial" w:eastAsia="Noto Sans CJK SC"/>
                <w:b w:val="0"/>
                <w:i w:val="0"/>
                <w:sz w:val="13"/>
              </w:rPr>
              <w:t>正义、权利与公平参与</w:t>
            </w:r>
          </w:p>
        </w:tc>
        <w:tc>
          <w:tcPr>
            <w:tcW w:type="dxa" w:w="2808"/>
            <w:vAlign w:val="center"/>
            <w:tcMar>
              <w:top w:w="45" w:type="dxa"/>
              <w:start w:w="55" w:type="dxa"/>
              <w:bottom w:w="45" w:type="dxa"/>
              <w:end w:w="55" w:type="dxa"/>
            </w:tcMar>
            <w:shd w:fill="F8FAFC"/>
          </w:tcPr>
          <w:p>
            <w:pPr>
              <w:spacing w:before="0" w:after="0" w:line="240" w:lineRule="auto"/>
              <w:jc w:val="center"/>
            </w:pPr>
            <w:r/>
            <w:r>
              <w:rPr>
                <w:rFonts w:ascii="Arial" w:hAnsi="Arial" w:eastAsia="Noto Sans CJK SC"/>
                <w:b w:val="0"/>
                <w:i w:val="0"/>
                <w:sz w:val="13"/>
              </w:rPr>
              <w:t>正义、平等与公平参与</w:t>
            </w:r>
          </w:p>
        </w:tc>
        <w:tc>
          <w:tcPr>
            <w:tcW w:type="dxa" w:w="266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职业尊严；信任、合作与共同善</w:t>
            </w:r>
          </w:p>
        </w:tc>
      </w:tr>
      <w:tr>
        <w:trPr>
          <w:cantSplit w:val="true"/>
        </w:trPr>
        <w:tc>
          <w:tcPr>
            <w:tcW w:type="dxa" w:w="1728"/>
            <w:vAlign w:val="center"/>
            <w:tcMar>
              <w:top w:w="45" w:type="dxa"/>
              <w:start w:w="55" w:type="dxa"/>
              <w:bottom w:w="45" w:type="dxa"/>
              <w:end w:w="55" w:type="dxa"/>
            </w:tcMar>
          </w:tcPr>
          <w:p>
            <w:pPr>
              <w:spacing w:before="0" w:after="0" w:line="240" w:lineRule="auto"/>
              <w:jc w:val="center"/>
            </w:pPr>
            <w:r/>
            <w:r>
              <w:rPr>
                <w:rFonts w:ascii="Arial" w:hAnsi="Arial" w:eastAsia="Noto Sans CJK SC"/>
                <w:b/>
                <w:i w:val="0"/>
                <w:sz w:val="13"/>
              </w:rPr>
              <w:t>21. 人机协作规范</w:t>
            </w:r>
          </w:p>
        </w:tc>
        <w:tc>
          <w:tcPr>
            <w:tcW w:type="dxa" w:w="3311"/>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人类与机器之间的职责、监督、控制和最终决定权</w:t>
            </w:r>
          </w:p>
        </w:tc>
        <w:tc>
          <w:tcPr>
            <w:tcW w:type="dxa" w:w="2951"/>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用户、人类从业者及受影响当事人</w:t>
            </w:r>
          </w:p>
        </w:tc>
        <w:tc>
          <w:tcPr>
            <w:tcW w:type="dxa" w:w="2232"/>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工作流设计、部署、审核与最终决策</w:t>
            </w:r>
          </w:p>
        </w:tc>
        <w:tc>
          <w:tcPr>
            <w:tcW w:type="dxa" w:w="3816"/>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维持有意义的人类控制，明确人机角色和责任边界</w:t>
            </w:r>
          </w:p>
        </w:tc>
        <w:tc>
          <w:tcPr>
            <w:tcW w:type="dxa" w:w="3096"/>
            <w:vAlign w:val="center"/>
            <w:tcMar>
              <w:top w:w="45" w:type="dxa"/>
              <w:start w:w="55" w:type="dxa"/>
              <w:bottom w:w="45" w:type="dxa"/>
              <w:end w:w="55" w:type="dxa"/>
            </w:tcMar>
            <w:shd w:fill="E4DFEC"/>
          </w:tcPr>
          <w:p>
            <w:pPr>
              <w:spacing w:before="0" w:after="0" w:line="240" w:lineRule="auto"/>
              <w:jc w:val="center"/>
            </w:pPr>
            <w:r/>
            <w:r>
              <w:rPr>
                <w:rFonts w:ascii="Arial" w:hAnsi="Arial" w:eastAsia="Noto Sans CJK SC"/>
                <w:b w:val="0"/>
                <w:i w:val="0"/>
                <w:sz w:val="13"/>
              </w:rPr>
              <w:t>透明、技术控制与责任治理</w:t>
            </w:r>
          </w:p>
        </w:tc>
        <w:tc>
          <w:tcPr>
            <w:tcW w:type="dxa" w:w="2808"/>
            <w:vAlign w:val="center"/>
            <w:tcMar>
              <w:top w:w="45" w:type="dxa"/>
              <w:start w:w="55" w:type="dxa"/>
              <w:bottom w:w="45" w:type="dxa"/>
              <w:end w:w="55" w:type="dxa"/>
            </w:tcMar>
          </w:tcPr>
          <w:p>
            <w:pPr>
              <w:spacing w:before="0" w:after="0" w:line="240" w:lineRule="auto"/>
              <w:jc w:val="center"/>
            </w:pPr>
            <w:r/>
            <w:r>
              <w:rPr>
                <w:rFonts w:ascii="Arial" w:hAnsi="Arial" w:eastAsia="Noto Sans CJK SC"/>
                <w:b w:val="0"/>
                <w:i w:val="0"/>
                <w:sz w:val="13"/>
              </w:rPr>
              <w:t>人格尊严与自主决定</w:t>
            </w:r>
          </w:p>
        </w:tc>
        <w:tc>
          <w:tcPr>
            <w:tcW w:type="dxa" w:w="2664"/>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福祉、安全与免受伤害；正义与问责</w:t>
            </w:r>
          </w:p>
        </w:tc>
      </w:tr>
      <w:tr>
        <w:trPr>
          <w:cantSplit w:val="true"/>
        </w:trPr>
        <w:tc>
          <w:tcPr>
            <w:tcW w:type="dxa" w:w="1728"/>
            <w:vAlign w:val="center"/>
            <w:tcMar>
              <w:top w:w="45" w:type="dxa"/>
              <w:start w:w="55" w:type="dxa"/>
              <w:bottom w:w="45" w:type="dxa"/>
              <w:end w:w="55" w:type="dxa"/>
            </w:tcMar>
            <w:shd w:fill="F8FAFC"/>
          </w:tcPr>
          <w:p>
            <w:pPr>
              <w:spacing w:before="0" w:after="0" w:line="240" w:lineRule="auto"/>
              <w:jc w:val="center"/>
            </w:pPr>
            <w:r/>
            <w:r>
              <w:rPr>
                <w:rFonts w:ascii="Arial" w:hAnsi="Arial" w:eastAsia="Noto Sans CJK SC"/>
                <w:b/>
                <w:i w:val="0"/>
                <w:sz w:val="13"/>
              </w:rPr>
              <w:t>22. 算法公平</w:t>
            </w:r>
          </w:p>
        </w:tc>
        <w:tc>
          <w:tcPr>
            <w:tcW w:type="dxa" w:w="3311"/>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算法、模型和训练数据对不同语言、文化或群体的系统性偏差</w:t>
            </w:r>
          </w:p>
        </w:tc>
        <w:tc>
          <w:tcPr>
            <w:tcW w:type="dxa" w:w="2951"/>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语言文化群体、弱势群体及用户</w:t>
            </w:r>
          </w:p>
        </w:tc>
        <w:tc>
          <w:tcPr>
            <w:tcW w:type="dxa" w:w="2232"/>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数据设计、训练、测试与部署</w:t>
            </w:r>
          </w:p>
        </w:tc>
        <w:tc>
          <w:tcPr>
            <w:tcW w:type="dxa" w:w="3816"/>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预防歧视性结果和结构性不平等</w:t>
            </w:r>
          </w:p>
        </w:tc>
        <w:tc>
          <w:tcPr>
            <w:tcW w:type="dxa" w:w="3096"/>
            <w:vAlign w:val="center"/>
            <w:tcMar>
              <w:top w:w="45" w:type="dxa"/>
              <w:start w:w="55" w:type="dxa"/>
              <w:bottom w:w="45" w:type="dxa"/>
              <w:end w:w="55" w:type="dxa"/>
            </w:tcMar>
            <w:shd w:fill="E2F0D9"/>
          </w:tcPr>
          <w:p>
            <w:pPr>
              <w:spacing w:before="0" w:after="0" w:line="240" w:lineRule="auto"/>
              <w:jc w:val="center"/>
            </w:pPr>
            <w:r/>
            <w:r>
              <w:rPr>
                <w:rFonts w:ascii="Arial" w:hAnsi="Arial" w:eastAsia="Noto Sans CJK SC"/>
                <w:b w:val="0"/>
                <w:i w:val="0"/>
                <w:sz w:val="13"/>
              </w:rPr>
              <w:t>正义、权利与公平参与</w:t>
            </w:r>
          </w:p>
        </w:tc>
        <w:tc>
          <w:tcPr>
            <w:tcW w:type="dxa" w:w="2808"/>
            <w:vAlign w:val="center"/>
            <w:tcMar>
              <w:top w:w="45" w:type="dxa"/>
              <w:start w:w="55" w:type="dxa"/>
              <w:bottom w:w="45" w:type="dxa"/>
              <w:end w:w="55" w:type="dxa"/>
            </w:tcMar>
            <w:shd w:fill="F8FAFC"/>
          </w:tcPr>
          <w:p>
            <w:pPr>
              <w:spacing w:before="0" w:after="0" w:line="240" w:lineRule="auto"/>
              <w:jc w:val="center"/>
            </w:pPr>
            <w:r/>
            <w:r>
              <w:rPr>
                <w:rFonts w:ascii="Arial" w:hAnsi="Arial" w:eastAsia="Noto Sans CJK SC"/>
                <w:b w:val="0"/>
                <w:i w:val="0"/>
                <w:sz w:val="13"/>
              </w:rPr>
              <w:t>正义、平等与公平参与</w:t>
            </w:r>
          </w:p>
        </w:tc>
        <w:tc>
          <w:tcPr>
            <w:tcW w:type="dxa" w:w="266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语言文化多样性与可持续性；人格尊严</w:t>
            </w:r>
          </w:p>
        </w:tc>
      </w:tr>
      <w:tr>
        <w:trPr>
          <w:cantSplit w:val="true"/>
        </w:trPr>
        <w:tc>
          <w:tcPr>
            <w:tcW w:type="dxa" w:w="1728"/>
            <w:vAlign w:val="center"/>
            <w:tcMar>
              <w:top w:w="45" w:type="dxa"/>
              <w:start w:w="55" w:type="dxa"/>
              <w:bottom w:w="45" w:type="dxa"/>
              <w:end w:w="55" w:type="dxa"/>
            </w:tcMar>
          </w:tcPr>
          <w:p>
            <w:pPr>
              <w:spacing w:before="0" w:after="0" w:line="240" w:lineRule="auto"/>
              <w:jc w:val="center"/>
            </w:pPr>
            <w:r/>
            <w:r>
              <w:rPr>
                <w:rFonts w:ascii="Arial" w:hAnsi="Arial" w:eastAsia="Noto Sans CJK SC"/>
                <w:b/>
                <w:i w:val="0"/>
                <w:sz w:val="13"/>
              </w:rPr>
              <w:t>23. 可解释性</w:t>
            </w:r>
          </w:p>
        </w:tc>
        <w:tc>
          <w:tcPr>
            <w:tcW w:type="dxa" w:w="3311"/>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系统逻辑、决策依据、能力和局限的可理解程度</w:t>
            </w:r>
          </w:p>
        </w:tc>
        <w:tc>
          <w:tcPr>
            <w:tcW w:type="dxa" w:w="2951"/>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用户、专业审核者、监管者及受影响者</w:t>
            </w:r>
          </w:p>
        </w:tc>
        <w:tc>
          <w:tcPr>
            <w:tcW w:type="dxa" w:w="2232"/>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设计、部署、使用与监督阶段</w:t>
            </w:r>
          </w:p>
        </w:tc>
        <w:tc>
          <w:tcPr>
            <w:tcW w:type="dxa" w:w="3816"/>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支持理解、质疑、审核和纠错</w:t>
            </w:r>
          </w:p>
        </w:tc>
        <w:tc>
          <w:tcPr>
            <w:tcW w:type="dxa" w:w="3096"/>
            <w:vAlign w:val="center"/>
            <w:tcMar>
              <w:top w:w="45" w:type="dxa"/>
              <w:start w:w="55" w:type="dxa"/>
              <w:bottom w:w="45" w:type="dxa"/>
              <w:end w:w="55" w:type="dxa"/>
            </w:tcMar>
            <w:shd w:fill="E4DFEC"/>
          </w:tcPr>
          <w:p>
            <w:pPr>
              <w:spacing w:before="0" w:after="0" w:line="240" w:lineRule="auto"/>
              <w:jc w:val="center"/>
            </w:pPr>
            <w:r/>
            <w:r>
              <w:rPr>
                <w:rFonts w:ascii="Arial" w:hAnsi="Arial" w:eastAsia="Noto Sans CJK SC"/>
                <w:b w:val="0"/>
                <w:i w:val="0"/>
                <w:sz w:val="13"/>
              </w:rPr>
              <w:t>透明、技术控制与责任治理</w:t>
            </w:r>
          </w:p>
        </w:tc>
        <w:tc>
          <w:tcPr>
            <w:tcW w:type="dxa" w:w="2808"/>
            <w:vAlign w:val="center"/>
            <w:tcMar>
              <w:top w:w="45" w:type="dxa"/>
              <w:start w:w="55" w:type="dxa"/>
              <w:bottom w:w="45" w:type="dxa"/>
              <w:end w:w="55" w:type="dxa"/>
            </w:tcMar>
          </w:tcPr>
          <w:p>
            <w:pPr>
              <w:spacing w:before="0" w:after="0" w:line="240" w:lineRule="auto"/>
              <w:jc w:val="center"/>
            </w:pPr>
            <w:r/>
            <w:r>
              <w:rPr>
                <w:rFonts w:ascii="Arial" w:hAnsi="Arial" w:eastAsia="Noto Sans CJK SC"/>
                <w:b w:val="0"/>
                <w:i w:val="0"/>
                <w:sz w:val="13"/>
              </w:rPr>
              <w:t>人格尊严与自主决定</w:t>
            </w:r>
          </w:p>
        </w:tc>
        <w:tc>
          <w:tcPr>
            <w:tcW w:type="dxa" w:w="2664"/>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信任、合作与共同善；正义与问责</w:t>
            </w:r>
          </w:p>
        </w:tc>
      </w:tr>
      <w:tr>
        <w:trPr>
          <w:cantSplit w:val="true"/>
        </w:trPr>
        <w:tc>
          <w:tcPr>
            <w:tcW w:type="dxa" w:w="1728"/>
            <w:vAlign w:val="center"/>
            <w:tcMar>
              <w:top w:w="45" w:type="dxa"/>
              <w:start w:w="55" w:type="dxa"/>
              <w:bottom w:w="45" w:type="dxa"/>
              <w:end w:w="55" w:type="dxa"/>
            </w:tcMar>
            <w:shd w:fill="F8FAFC"/>
          </w:tcPr>
          <w:p>
            <w:pPr>
              <w:spacing w:before="0" w:after="0" w:line="240" w:lineRule="auto"/>
              <w:jc w:val="center"/>
            </w:pPr>
            <w:r/>
            <w:r>
              <w:rPr>
                <w:rFonts w:ascii="Arial" w:hAnsi="Arial" w:eastAsia="Noto Sans CJK SC"/>
                <w:b/>
                <w:i w:val="0"/>
                <w:sz w:val="13"/>
              </w:rPr>
              <w:t>24. 知情同意</w:t>
            </w:r>
          </w:p>
        </w:tc>
        <w:tc>
          <w:tcPr>
            <w:tcW w:type="dxa" w:w="3311"/>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服务或系统使用前的信息提供、自愿选择与拒绝权</w:t>
            </w:r>
          </w:p>
        </w:tc>
        <w:tc>
          <w:tcPr>
            <w:tcW w:type="dxa" w:w="2951"/>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服务使用者和沟通当事人</w:t>
            </w:r>
          </w:p>
        </w:tc>
        <w:tc>
          <w:tcPr>
            <w:tcW w:type="dxa" w:w="2232"/>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服务开始前及方式重大变更时</w:t>
            </w:r>
          </w:p>
        </w:tc>
        <w:tc>
          <w:tcPr>
            <w:tcW w:type="dxa" w:w="3816"/>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确保在充分知情基础上自主接受、选择或拒绝</w:t>
            </w:r>
          </w:p>
        </w:tc>
        <w:tc>
          <w:tcPr>
            <w:tcW w:type="dxa" w:w="3096"/>
            <w:vAlign w:val="center"/>
            <w:tcMar>
              <w:top w:w="45" w:type="dxa"/>
              <w:start w:w="55" w:type="dxa"/>
              <w:bottom w:w="45" w:type="dxa"/>
              <w:end w:w="55" w:type="dxa"/>
            </w:tcMar>
            <w:shd w:fill="FCE4D6"/>
          </w:tcPr>
          <w:p>
            <w:pPr>
              <w:spacing w:before="0" w:after="0" w:line="240" w:lineRule="auto"/>
              <w:jc w:val="center"/>
            </w:pPr>
            <w:r/>
            <w:r>
              <w:rPr>
                <w:rFonts w:ascii="Arial" w:hAnsi="Arial" w:eastAsia="Noto Sans CJK SC"/>
                <w:b w:val="0"/>
                <w:i w:val="0"/>
                <w:sz w:val="13"/>
              </w:rPr>
              <w:t>人格、信息与自主权保护</w:t>
            </w:r>
          </w:p>
        </w:tc>
        <w:tc>
          <w:tcPr>
            <w:tcW w:type="dxa" w:w="2808"/>
            <w:vAlign w:val="center"/>
            <w:tcMar>
              <w:top w:w="45" w:type="dxa"/>
              <w:start w:w="55" w:type="dxa"/>
              <w:bottom w:w="45" w:type="dxa"/>
              <w:end w:w="55" w:type="dxa"/>
            </w:tcMar>
            <w:shd w:fill="F8FAFC"/>
          </w:tcPr>
          <w:p>
            <w:pPr>
              <w:spacing w:before="0" w:after="0" w:line="240" w:lineRule="auto"/>
              <w:jc w:val="center"/>
            </w:pPr>
            <w:r/>
            <w:r>
              <w:rPr>
                <w:rFonts w:ascii="Arial" w:hAnsi="Arial" w:eastAsia="Noto Sans CJK SC"/>
                <w:b w:val="0"/>
                <w:i w:val="0"/>
                <w:sz w:val="13"/>
              </w:rPr>
              <w:t>人格尊严与自主决定</w:t>
            </w:r>
          </w:p>
        </w:tc>
        <w:tc>
          <w:tcPr>
            <w:tcW w:type="dxa" w:w="266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福祉、安全与免受伤害；信任</w:t>
            </w:r>
          </w:p>
        </w:tc>
      </w:tr>
      <w:tr>
        <w:trPr>
          <w:cantSplit w:val="true"/>
        </w:trPr>
        <w:tc>
          <w:tcPr>
            <w:tcW w:type="dxa" w:w="1728"/>
            <w:vAlign w:val="center"/>
            <w:tcMar>
              <w:top w:w="45" w:type="dxa"/>
              <w:start w:w="55" w:type="dxa"/>
              <w:bottom w:w="45" w:type="dxa"/>
              <w:end w:w="55" w:type="dxa"/>
            </w:tcMar>
          </w:tcPr>
          <w:p>
            <w:pPr>
              <w:spacing w:before="0" w:after="0" w:line="240" w:lineRule="auto"/>
              <w:jc w:val="center"/>
            </w:pPr>
            <w:r/>
            <w:r>
              <w:rPr>
                <w:rFonts w:ascii="Arial" w:hAnsi="Arial" w:eastAsia="Noto Sans CJK SC"/>
                <w:b/>
                <w:i w:val="0"/>
                <w:sz w:val="13"/>
              </w:rPr>
              <w:t>25. 译者著作权利</w:t>
            </w:r>
          </w:p>
        </w:tc>
        <w:tc>
          <w:tcPr>
            <w:tcW w:type="dxa" w:w="3311"/>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译者对译作的署名、修改及经济收益权</w:t>
            </w:r>
          </w:p>
        </w:tc>
        <w:tc>
          <w:tcPr>
            <w:tcW w:type="dxa" w:w="2951"/>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译者及其创作劳动</w:t>
            </w:r>
          </w:p>
        </w:tc>
        <w:tc>
          <w:tcPr>
            <w:tcW w:type="dxa" w:w="2232"/>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译作产生、修改、传播与商业利用阶段</w:t>
            </w:r>
          </w:p>
        </w:tc>
        <w:tc>
          <w:tcPr>
            <w:tcW w:type="dxa" w:w="3816"/>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承认译者的作者身份、劳动贡献和收益权</w:t>
            </w:r>
          </w:p>
        </w:tc>
        <w:tc>
          <w:tcPr>
            <w:tcW w:type="dxa" w:w="3096"/>
            <w:vAlign w:val="center"/>
            <w:tcMar>
              <w:top w:w="45" w:type="dxa"/>
              <w:start w:w="55" w:type="dxa"/>
              <w:bottom w:w="45" w:type="dxa"/>
              <w:end w:w="55" w:type="dxa"/>
            </w:tcMar>
            <w:shd w:fill="E2F0D9"/>
          </w:tcPr>
          <w:p>
            <w:pPr>
              <w:spacing w:before="0" w:after="0" w:line="240" w:lineRule="auto"/>
              <w:jc w:val="center"/>
            </w:pPr>
            <w:r/>
            <w:r>
              <w:rPr>
                <w:rFonts w:ascii="Arial" w:hAnsi="Arial" w:eastAsia="Noto Sans CJK SC"/>
                <w:b w:val="0"/>
                <w:i w:val="0"/>
                <w:sz w:val="13"/>
              </w:rPr>
              <w:t>正义、权利与公平参与</w:t>
            </w:r>
          </w:p>
        </w:tc>
        <w:tc>
          <w:tcPr>
            <w:tcW w:type="dxa" w:w="2808"/>
            <w:vAlign w:val="center"/>
            <w:tcMar>
              <w:top w:w="45" w:type="dxa"/>
              <w:start w:w="55" w:type="dxa"/>
              <w:bottom w:w="45" w:type="dxa"/>
              <w:end w:w="55" w:type="dxa"/>
            </w:tcMar>
          </w:tcPr>
          <w:p>
            <w:pPr>
              <w:spacing w:before="0" w:after="0" w:line="240" w:lineRule="auto"/>
              <w:jc w:val="center"/>
            </w:pPr>
            <w:r/>
            <w:r>
              <w:rPr>
                <w:rFonts w:ascii="Arial" w:hAnsi="Arial" w:eastAsia="Noto Sans CJK SC"/>
                <w:b w:val="0"/>
                <w:i w:val="0"/>
                <w:sz w:val="13"/>
              </w:rPr>
              <w:t>正义、平等与公平参与</w:t>
            </w:r>
          </w:p>
        </w:tc>
        <w:tc>
          <w:tcPr>
            <w:tcW w:type="dxa" w:w="2664"/>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职业尊严；语言文化生产的可持续性</w:t>
            </w:r>
          </w:p>
        </w:tc>
      </w:tr>
      <w:tr>
        <w:trPr>
          <w:cantSplit w:val="true"/>
        </w:trPr>
        <w:tc>
          <w:tcPr>
            <w:tcW w:type="dxa" w:w="1728"/>
            <w:vAlign w:val="center"/>
            <w:tcMar>
              <w:top w:w="45" w:type="dxa"/>
              <w:start w:w="55" w:type="dxa"/>
              <w:bottom w:w="45" w:type="dxa"/>
              <w:end w:w="55" w:type="dxa"/>
            </w:tcMar>
            <w:shd w:fill="F8FAFC"/>
          </w:tcPr>
          <w:p>
            <w:pPr>
              <w:spacing w:before="0" w:after="0" w:line="240" w:lineRule="auto"/>
              <w:jc w:val="center"/>
            </w:pPr>
            <w:r/>
            <w:r>
              <w:rPr>
                <w:rFonts w:ascii="Arial" w:hAnsi="Arial" w:eastAsia="Noto Sans CJK SC"/>
                <w:b/>
                <w:i w:val="0"/>
                <w:sz w:val="13"/>
              </w:rPr>
              <w:t>26. 尊重当事人/自主权</w:t>
            </w:r>
          </w:p>
        </w:tc>
        <w:tc>
          <w:tcPr>
            <w:tcW w:type="dxa" w:w="3311"/>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对服务对象尊严、自决、选择和实际需求的尊重</w:t>
            </w:r>
          </w:p>
        </w:tc>
        <w:tc>
          <w:tcPr>
            <w:tcW w:type="dxa" w:w="2951"/>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患者、学生、客户及其他具体当事人</w:t>
            </w:r>
          </w:p>
        </w:tc>
        <w:tc>
          <w:tcPr>
            <w:tcW w:type="dxa" w:w="2232"/>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服务全过程</w:t>
            </w:r>
          </w:p>
        </w:tc>
        <w:tc>
          <w:tcPr>
            <w:tcW w:type="dxa" w:w="3816"/>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防止家长主义，支持自我倡导和自主决策</w:t>
            </w:r>
          </w:p>
        </w:tc>
        <w:tc>
          <w:tcPr>
            <w:tcW w:type="dxa" w:w="3096"/>
            <w:vAlign w:val="center"/>
            <w:tcMar>
              <w:top w:w="45" w:type="dxa"/>
              <w:start w:w="55" w:type="dxa"/>
              <w:bottom w:w="45" w:type="dxa"/>
              <w:end w:w="55" w:type="dxa"/>
            </w:tcMar>
            <w:shd w:fill="FCE4D6"/>
          </w:tcPr>
          <w:p>
            <w:pPr>
              <w:spacing w:before="0" w:after="0" w:line="240" w:lineRule="auto"/>
              <w:jc w:val="center"/>
            </w:pPr>
            <w:r/>
            <w:r>
              <w:rPr>
                <w:rFonts w:ascii="Arial" w:hAnsi="Arial" w:eastAsia="Noto Sans CJK SC"/>
                <w:b w:val="0"/>
                <w:i w:val="0"/>
                <w:sz w:val="13"/>
              </w:rPr>
              <w:t>人格、信息与自主权保护</w:t>
            </w:r>
          </w:p>
        </w:tc>
        <w:tc>
          <w:tcPr>
            <w:tcW w:type="dxa" w:w="2808"/>
            <w:vAlign w:val="center"/>
            <w:tcMar>
              <w:top w:w="45" w:type="dxa"/>
              <w:start w:w="55" w:type="dxa"/>
              <w:bottom w:w="45" w:type="dxa"/>
              <w:end w:w="55" w:type="dxa"/>
            </w:tcMar>
            <w:shd w:fill="F8FAFC"/>
          </w:tcPr>
          <w:p>
            <w:pPr>
              <w:spacing w:before="0" w:after="0" w:line="240" w:lineRule="auto"/>
              <w:jc w:val="center"/>
            </w:pPr>
            <w:r/>
            <w:r>
              <w:rPr>
                <w:rFonts w:ascii="Arial" w:hAnsi="Arial" w:eastAsia="Noto Sans CJK SC"/>
                <w:b w:val="0"/>
                <w:i w:val="0"/>
                <w:sz w:val="13"/>
              </w:rPr>
              <w:t>人格尊严与自主决定</w:t>
            </w:r>
          </w:p>
        </w:tc>
        <w:tc>
          <w:tcPr>
            <w:tcW w:type="dxa" w:w="266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正义、平等与公平参与；信任</w:t>
            </w:r>
          </w:p>
        </w:tc>
      </w:tr>
      <w:tr>
        <w:trPr>
          <w:cantSplit w:val="true"/>
        </w:trPr>
        <w:tc>
          <w:tcPr>
            <w:tcW w:type="dxa" w:w="1728"/>
            <w:vAlign w:val="center"/>
            <w:tcMar>
              <w:top w:w="45" w:type="dxa"/>
              <w:start w:w="55" w:type="dxa"/>
              <w:bottom w:w="45" w:type="dxa"/>
              <w:end w:w="55" w:type="dxa"/>
            </w:tcMar>
          </w:tcPr>
          <w:p>
            <w:pPr>
              <w:spacing w:before="0" w:after="0" w:line="240" w:lineRule="auto"/>
              <w:jc w:val="center"/>
            </w:pPr>
            <w:r/>
            <w:r>
              <w:rPr>
                <w:rFonts w:ascii="Arial" w:hAnsi="Arial" w:eastAsia="Noto Sans CJK SC"/>
                <w:b/>
                <w:i w:val="0"/>
                <w:sz w:val="13"/>
              </w:rPr>
              <w:t>27. 语言可及性/无障碍保障</w:t>
            </w:r>
          </w:p>
        </w:tc>
        <w:tc>
          <w:tcPr>
            <w:tcW w:type="dxa" w:w="3311"/>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交流内容、环境及沟通方式的实质可及性</w:t>
            </w:r>
          </w:p>
        </w:tc>
        <w:tc>
          <w:tcPr>
            <w:tcW w:type="dxa" w:w="2951"/>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残障人士、语言少数群体及所有服务使用者</w:t>
            </w:r>
          </w:p>
        </w:tc>
        <w:tc>
          <w:tcPr>
            <w:tcW w:type="dxa" w:w="2232"/>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服务规划、环境安排与实施过程</w:t>
            </w:r>
          </w:p>
        </w:tc>
        <w:tc>
          <w:tcPr>
            <w:tcW w:type="dxa" w:w="3816"/>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消除沟通障碍，保障平等参与和信息获得</w:t>
            </w:r>
          </w:p>
        </w:tc>
        <w:tc>
          <w:tcPr>
            <w:tcW w:type="dxa" w:w="3096"/>
            <w:vAlign w:val="center"/>
            <w:tcMar>
              <w:top w:w="45" w:type="dxa"/>
              <w:start w:w="55" w:type="dxa"/>
              <w:bottom w:w="45" w:type="dxa"/>
              <w:end w:w="55" w:type="dxa"/>
            </w:tcMar>
            <w:shd w:fill="E2F0D9"/>
          </w:tcPr>
          <w:p>
            <w:pPr>
              <w:spacing w:before="0" w:after="0" w:line="240" w:lineRule="auto"/>
              <w:jc w:val="center"/>
            </w:pPr>
            <w:r/>
            <w:r>
              <w:rPr>
                <w:rFonts w:ascii="Arial" w:hAnsi="Arial" w:eastAsia="Noto Sans CJK SC"/>
                <w:b w:val="0"/>
                <w:i w:val="0"/>
                <w:sz w:val="13"/>
              </w:rPr>
              <w:t>正义、权利与公平参与</w:t>
            </w:r>
          </w:p>
        </w:tc>
        <w:tc>
          <w:tcPr>
            <w:tcW w:type="dxa" w:w="2808"/>
            <w:vAlign w:val="center"/>
            <w:tcMar>
              <w:top w:w="45" w:type="dxa"/>
              <w:start w:w="55" w:type="dxa"/>
              <w:bottom w:w="45" w:type="dxa"/>
              <w:end w:w="55" w:type="dxa"/>
            </w:tcMar>
          </w:tcPr>
          <w:p>
            <w:pPr>
              <w:spacing w:before="0" w:after="0" w:line="240" w:lineRule="auto"/>
              <w:jc w:val="center"/>
            </w:pPr>
            <w:r/>
            <w:r>
              <w:rPr>
                <w:rFonts w:ascii="Arial" w:hAnsi="Arial" w:eastAsia="Noto Sans CJK SC"/>
                <w:b w:val="0"/>
                <w:i w:val="0"/>
                <w:sz w:val="13"/>
              </w:rPr>
              <w:t>正义、平等与公平参与</w:t>
            </w:r>
          </w:p>
        </w:tc>
        <w:tc>
          <w:tcPr>
            <w:tcW w:type="dxa" w:w="2664"/>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人格尊严与自主决定；语言文化多样性</w:t>
            </w:r>
          </w:p>
        </w:tc>
      </w:tr>
      <w:tr>
        <w:trPr>
          <w:cantSplit w:val="true"/>
        </w:trPr>
        <w:tc>
          <w:tcPr>
            <w:tcW w:type="dxa" w:w="1728"/>
            <w:vAlign w:val="center"/>
            <w:tcMar>
              <w:top w:w="45" w:type="dxa"/>
              <w:start w:w="55" w:type="dxa"/>
              <w:bottom w:w="45" w:type="dxa"/>
              <w:end w:w="55" w:type="dxa"/>
            </w:tcMar>
            <w:shd w:fill="F8FAFC"/>
          </w:tcPr>
          <w:p>
            <w:pPr>
              <w:spacing w:before="0" w:after="0" w:line="240" w:lineRule="auto"/>
              <w:jc w:val="center"/>
            </w:pPr>
            <w:r/>
            <w:r>
              <w:rPr>
                <w:rFonts w:ascii="Arial" w:hAnsi="Arial" w:eastAsia="Noto Sans CJK SC"/>
                <w:b/>
                <w:i w:val="0"/>
                <w:sz w:val="13"/>
              </w:rPr>
              <w:t>28. 跨专业协作</w:t>
            </w:r>
          </w:p>
        </w:tc>
        <w:tc>
          <w:tcPr>
            <w:tcW w:type="dxa" w:w="3311"/>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译员与教师、医护、社工等其他专业人员的协作</w:t>
            </w:r>
          </w:p>
        </w:tc>
        <w:tc>
          <w:tcPr>
            <w:tcW w:type="dxa" w:w="2951"/>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服务对象、专业团队与机构</w:t>
            </w:r>
          </w:p>
        </w:tc>
        <w:tc>
          <w:tcPr>
            <w:tcW w:type="dxa" w:w="2232"/>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服务规划、实施和共同决策过程</w:t>
            </w:r>
          </w:p>
        </w:tc>
        <w:tc>
          <w:tcPr>
            <w:tcW w:type="dxa" w:w="3816"/>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整合不同专业知识，协调行动并减少信息断裂</w:t>
            </w:r>
          </w:p>
        </w:tc>
        <w:tc>
          <w:tcPr>
            <w:tcW w:type="dxa" w:w="3096"/>
            <w:vAlign w:val="center"/>
            <w:tcMar>
              <w:top w:w="45" w:type="dxa"/>
              <w:start w:w="55" w:type="dxa"/>
              <w:bottom w:w="45" w:type="dxa"/>
              <w:end w:w="55" w:type="dxa"/>
            </w:tcMar>
            <w:shd w:fill="FFF2CC"/>
          </w:tcPr>
          <w:p>
            <w:pPr>
              <w:spacing w:before="0" w:after="0" w:line="240" w:lineRule="auto"/>
              <w:jc w:val="center"/>
            </w:pPr>
            <w:r/>
            <w:r>
              <w:rPr>
                <w:rFonts w:ascii="Arial" w:hAnsi="Arial" w:eastAsia="Noto Sans CJK SC"/>
                <w:b w:val="0"/>
                <w:i w:val="0"/>
                <w:sz w:val="13"/>
              </w:rPr>
              <w:t>职业诚信与合作关系</w:t>
            </w:r>
          </w:p>
        </w:tc>
        <w:tc>
          <w:tcPr>
            <w:tcW w:type="dxa" w:w="2808"/>
            <w:vAlign w:val="center"/>
            <w:tcMar>
              <w:top w:w="45" w:type="dxa"/>
              <w:start w:w="55" w:type="dxa"/>
              <w:bottom w:w="45" w:type="dxa"/>
              <w:end w:w="55" w:type="dxa"/>
            </w:tcMar>
            <w:shd w:fill="F8FAFC"/>
          </w:tcPr>
          <w:p>
            <w:pPr>
              <w:spacing w:before="0" w:after="0" w:line="240" w:lineRule="auto"/>
              <w:jc w:val="center"/>
            </w:pPr>
            <w:r/>
            <w:r>
              <w:rPr>
                <w:rFonts w:ascii="Arial" w:hAnsi="Arial" w:eastAsia="Noto Sans CJK SC"/>
                <w:b w:val="0"/>
                <w:i w:val="0"/>
                <w:sz w:val="13"/>
              </w:rPr>
              <w:t>信任、合作与共同善</w:t>
            </w:r>
          </w:p>
        </w:tc>
        <w:tc>
          <w:tcPr>
            <w:tcW w:type="dxa" w:w="266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b w:val="0"/>
                <w:i w:val="0"/>
                <w:sz w:val="13"/>
              </w:rPr>
              <w:t>福祉、安全与免受伤害；真实理解</w:t>
            </w:r>
          </w:p>
        </w:tc>
      </w:tr>
      <w:tr>
        <w:trPr>
          <w:cantSplit w:val="true"/>
        </w:trPr>
        <w:tc>
          <w:tcPr>
            <w:tcW w:type="dxa" w:w="1728"/>
            <w:vAlign w:val="center"/>
            <w:tcMar>
              <w:top w:w="45" w:type="dxa"/>
              <w:start w:w="55" w:type="dxa"/>
              <w:bottom w:w="45" w:type="dxa"/>
              <w:end w:w="55" w:type="dxa"/>
            </w:tcMar>
          </w:tcPr>
          <w:p>
            <w:pPr>
              <w:spacing w:before="0" w:after="0" w:line="240" w:lineRule="auto"/>
              <w:jc w:val="center"/>
            </w:pPr>
            <w:r/>
            <w:r>
              <w:rPr>
                <w:rFonts w:ascii="Arial" w:hAnsi="Arial" w:eastAsia="Noto Sans CJK SC"/>
                <w:b/>
                <w:i w:val="0"/>
                <w:sz w:val="13"/>
              </w:rPr>
              <w:t>29. 问责制/责任归属</w:t>
            </w:r>
          </w:p>
        </w:tc>
        <w:tc>
          <w:tcPr>
            <w:tcW w:type="dxa" w:w="3311"/>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错误或损害发生后的责任分配、追溯与救济</w:t>
            </w:r>
          </w:p>
        </w:tc>
        <w:tc>
          <w:tcPr>
            <w:tcW w:type="dxa" w:w="2951"/>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受影响当事人、公众及相关机构</w:t>
            </w:r>
          </w:p>
        </w:tc>
        <w:tc>
          <w:tcPr>
            <w:tcW w:type="dxa" w:w="2232"/>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问题发生后及持续治理阶段</w:t>
            </w:r>
          </w:p>
        </w:tc>
        <w:tc>
          <w:tcPr>
            <w:tcW w:type="dxa" w:w="3816"/>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明确谁需说明、承担责任和采取补救，形成可追溯责任链</w:t>
            </w:r>
          </w:p>
        </w:tc>
        <w:tc>
          <w:tcPr>
            <w:tcW w:type="dxa" w:w="3096"/>
            <w:vAlign w:val="center"/>
            <w:tcMar>
              <w:top w:w="45" w:type="dxa"/>
              <w:start w:w="55" w:type="dxa"/>
              <w:bottom w:w="45" w:type="dxa"/>
              <w:end w:w="55" w:type="dxa"/>
            </w:tcMar>
            <w:shd w:fill="E4DFEC"/>
          </w:tcPr>
          <w:p>
            <w:pPr>
              <w:spacing w:before="0" w:after="0" w:line="240" w:lineRule="auto"/>
              <w:jc w:val="center"/>
            </w:pPr>
            <w:r/>
            <w:r>
              <w:rPr>
                <w:rFonts w:ascii="Arial" w:hAnsi="Arial" w:eastAsia="Noto Sans CJK SC"/>
                <w:b w:val="0"/>
                <w:i w:val="0"/>
                <w:sz w:val="13"/>
              </w:rPr>
              <w:t>透明、技术控制与责任治理</w:t>
            </w:r>
          </w:p>
        </w:tc>
        <w:tc>
          <w:tcPr>
            <w:tcW w:type="dxa" w:w="2808"/>
            <w:vAlign w:val="center"/>
            <w:tcMar>
              <w:top w:w="45" w:type="dxa"/>
              <w:start w:w="55" w:type="dxa"/>
              <w:bottom w:w="45" w:type="dxa"/>
              <w:end w:w="55" w:type="dxa"/>
            </w:tcMar>
          </w:tcPr>
          <w:p>
            <w:pPr>
              <w:spacing w:before="0" w:after="0" w:line="240" w:lineRule="auto"/>
              <w:jc w:val="center"/>
            </w:pPr>
            <w:r/>
            <w:r>
              <w:rPr>
                <w:rFonts w:ascii="Arial" w:hAnsi="Arial" w:eastAsia="Noto Sans CJK SC"/>
                <w:b w:val="0"/>
                <w:i w:val="0"/>
                <w:sz w:val="13"/>
              </w:rPr>
              <w:t>正义、平等与公平参与</w:t>
            </w:r>
          </w:p>
        </w:tc>
        <w:tc>
          <w:tcPr>
            <w:tcW w:type="dxa" w:w="2664"/>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3"/>
              </w:rPr>
              <w:t>福祉、安全与免受伤害；信任</w:t>
            </w:r>
          </w:p>
        </w:tc>
      </w:tr>
    </w:tbl>
    <w:p>
      <w:pPr>
        <w:spacing w:before="140" w:after="60" w:line="259" w:lineRule="auto"/>
      </w:pPr>
      <w:r>
        <w:rPr>
          <w:rFonts w:ascii="Arial" w:hAnsi="Arial" w:eastAsia="Noto Sans CJK SC"/>
          <w:b/>
          <w:i w:val="0"/>
          <w:color w:val="1F4E79"/>
          <w:sz w:val="28"/>
        </w:rPr>
        <w:t>六、六个分析性主题的生成过程与结果</w:t>
      </w:r>
    </w:p>
    <w:p>
      <w:pPr>
        <w:spacing w:before="0" w:after="100" w:line="259" w:lineRule="auto"/>
      </w:pPr>
      <w:r>
        <w:rPr>
          <w:rFonts w:ascii="Arial" w:hAnsi="Arial" w:eastAsia="Noto Sans CJK SC"/>
          <w:b w:val="0"/>
          <w:i w:val="0"/>
          <w:sz w:val="18"/>
        </w:rPr>
        <w:t>主题综合需要在矩阵之后明确说明分析过程。研究者对29行进行横向比较：当若干维度在直接规范对象、保护对象、作用阶段和主要规范功能上呈现稳定的共同模式时，将其暂时归入同一分析性主题；随后用不相似案例和边界案例检验该组合是否过宽或过窄。最终形成的六个主题及其归纳依据如下。</w:t>
      </w:r>
    </w:p>
    <w:tbl>
      <w:tblPr>
        <w:tblStyle w:val="TableGrid"/>
        <w:tblW w:type="auto" w:w="0"/>
        <w:jc w:val="center"/>
        <w:tblLayout w:type="fixed"/>
        <w:tblLook w:firstColumn="1" w:firstRow="1" w:lastColumn="0" w:lastRow="0" w:noHBand="0" w:noVBand="1" w:val="04A0"/>
      </w:tblPr>
      <w:tblGrid>
        <w:gridCol w:w="5681"/>
        <w:gridCol w:w="5681"/>
        <w:gridCol w:w="5681"/>
        <w:gridCol w:w="5681"/>
      </w:tblGrid>
      <w:tr>
        <w:trPr>
          <w:tblHeader w:val="true"/>
        </w:trPr>
        <w:tc>
          <w:tcPr>
            <w:tcW w:type="dxa" w:w="3240"/>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b/>
                <w:i w:val="0"/>
                <w:color w:val="FFFFFF"/>
                <w:sz w:val="16"/>
              </w:rPr>
              <w:t>分析性主题</w:t>
            </w:r>
          </w:p>
        </w:tc>
        <w:tc>
          <w:tcPr>
            <w:tcW w:type="dxa" w:w="5040"/>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b/>
                <w:i w:val="0"/>
                <w:color w:val="FFFFFF"/>
                <w:sz w:val="16"/>
              </w:rPr>
              <w:t>所含一阶维度</w:t>
            </w:r>
          </w:p>
        </w:tc>
        <w:tc>
          <w:tcPr>
            <w:tcW w:type="dxa" w:w="7776"/>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b/>
                <w:i w:val="0"/>
                <w:color w:val="FFFFFF"/>
                <w:sz w:val="16"/>
              </w:rPr>
              <w:t>四项属性呈现的共同模式</w:t>
            </w:r>
          </w:p>
        </w:tc>
        <w:tc>
          <w:tcPr>
            <w:tcW w:type="dxa" w:w="6048"/>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b/>
                <w:i w:val="0"/>
                <w:color w:val="FFFFFF"/>
                <w:sz w:val="16"/>
              </w:rPr>
              <w:t>主题命名理由</w:t>
            </w:r>
          </w:p>
        </w:tc>
      </w:tr>
      <w:tr>
        <w:trPr>
          <w:cantSplit w:val="true"/>
        </w:trPr>
        <w:tc>
          <w:tcPr>
            <w:tcW w:type="dxa" w:w="3240"/>
            <w:vAlign w:val="center"/>
            <w:tcMar>
              <w:top w:w="45" w:type="dxa"/>
              <w:start w:w="55" w:type="dxa"/>
              <w:bottom w:w="45" w:type="dxa"/>
              <w:end w:w="55" w:type="dxa"/>
            </w:tcMar>
            <w:shd w:fill="FCE4D6"/>
          </w:tcPr>
          <w:p>
            <w:pPr>
              <w:spacing w:before="0" w:after="0" w:line="240" w:lineRule="auto"/>
              <w:jc w:val="center"/>
            </w:pPr>
            <w:r/>
            <w:r>
              <w:rPr>
                <w:rFonts w:ascii="Arial" w:hAnsi="Arial" w:eastAsia="Noto Sans CJK SC"/>
                <w:b/>
                <w:i w:val="0"/>
                <w:sz w:val="14"/>
              </w:rPr>
              <w:t>人格、信息与自主权保护</w:t>
            </w:r>
          </w:p>
        </w:tc>
        <w:tc>
          <w:tcPr>
            <w:tcW w:type="dxa" w:w="5040"/>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4"/>
              </w:rPr>
              <w:t>1 保密性；11 隐私/数据保护；19 角色界限；24 知情同意；26 尊重当事人/自主权</w:t>
            </w:r>
          </w:p>
        </w:tc>
        <w:tc>
          <w:tcPr>
            <w:tcW w:type="dxa" w:w="7776"/>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4"/>
              </w:rPr>
              <w:t>共同限制专业人员、机构或技术对个人信息、表达、选择和行动空间的不当控制。保护对象集中于当事人、数据主体及其人格与信息权益；主要功能是防止泄露、越权、非自愿处理和家长主义干预。</w:t>
            </w:r>
          </w:p>
        </w:tc>
        <w:tc>
          <w:tcPr>
            <w:tcW w:type="dxa" w:w="6048"/>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4"/>
              </w:rPr>
              <w:t>这些规范虽然介入阶段不同，但都维护个人对自身信息、表达和决定的控制。</w:t>
            </w:r>
          </w:p>
        </w:tc>
      </w:tr>
      <w:tr>
        <w:trPr>
          <w:cantSplit w:val="true"/>
        </w:trPr>
        <w:tc>
          <w:tcPr>
            <w:tcW w:type="dxa" w:w="3240"/>
            <w:vAlign w:val="center"/>
            <w:tcMar>
              <w:top w:w="45" w:type="dxa"/>
              <w:start w:w="55" w:type="dxa"/>
              <w:bottom w:w="45" w:type="dxa"/>
              <w:end w:w="55" w:type="dxa"/>
            </w:tcMar>
            <w:shd w:fill="DDEBF7"/>
          </w:tcPr>
          <w:p>
            <w:pPr>
              <w:spacing w:before="0" w:after="0" w:line="240" w:lineRule="auto"/>
              <w:jc w:val="center"/>
            </w:pPr>
            <w:r/>
            <w:r>
              <w:rPr>
                <w:rFonts w:ascii="Arial" w:hAnsi="Arial" w:eastAsia="Noto Sans CJK SC"/>
                <w:b/>
                <w:i w:val="0"/>
                <w:sz w:val="14"/>
              </w:rPr>
              <w:t>沟通真实性与专业可靠性</w:t>
            </w:r>
          </w:p>
        </w:tc>
        <w:tc>
          <w:tcPr>
            <w:tcW w:type="dxa" w:w="5040"/>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4"/>
              </w:rPr>
              <w:t>2 胜任能力；3 忠实/准确；5 持续专业发展；8 质量保证；9 文化/语言能力；10 错误更正义务</w:t>
            </w:r>
          </w:p>
        </w:tc>
        <w:tc>
          <w:tcPr>
            <w:tcW w:type="dxa" w:w="7776"/>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4"/>
              </w:rPr>
              <w:t>共同保护跨语言传达结果能否准确、适切、稳定并值得依赖。其作用覆盖任务承接前、转换与输出、持续运行以及错误发生后，形成“能力准入—过程控制—结果核验—事后恢复”的可靠性链条。</w:t>
            </w:r>
          </w:p>
        </w:tc>
        <w:tc>
          <w:tcPr>
            <w:tcW w:type="dxa" w:w="6048"/>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4"/>
              </w:rPr>
              <w:t>这些规范的共同功能是保证跨语言理解和专业服务的可信度。</w:t>
            </w:r>
          </w:p>
        </w:tc>
      </w:tr>
      <w:tr>
        <w:trPr>
          <w:cantSplit w:val="true"/>
        </w:trPr>
        <w:tc>
          <w:tcPr>
            <w:tcW w:type="dxa" w:w="3240"/>
            <w:vAlign w:val="center"/>
            <w:tcMar>
              <w:top w:w="45" w:type="dxa"/>
              <w:start w:w="55" w:type="dxa"/>
              <w:bottom w:w="45" w:type="dxa"/>
              <w:end w:w="55" w:type="dxa"/>
            </w:tcMar>
            <w:shd w:fill="FFF2CC"/>
          </w:tcPr>
          <w:p>
            <w:pPr>
              <w:spacing w:before="0" w:after="0" w:line="240" w:lineRule="auto"/>
              <w:jc w:val="center"/>
            </w:pPr>
            <w:r/>
            <w:r>
              <w:rPr>
                <w:rFonts w:ascii="Arial" w:hAnsi="Arial" w:eastAsia="Noto Sans CJK SC"/>
                <w:b/>
                <w:i w:val="0"/>
                <w:sz w:val="14"/>
              </w:rPr>
              <w:t>职业诚信与合作关系</w:t>
            </w:r>
          </w:p>
        </w:tc>
        <w:tc>
          <w:tcPr>
            <w:tcW w:type="dxa" w:w="5040"/>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4"/>
              </w:rPr>
              <w:t>4 诚信/职业操守；6 合同/承诺遵守；14 同业团结/合作；15 利益冲突披露；28 跨专业协作</w:t>
            </w:r>
          </w:p>
        </w:tc>
        <w:tc>
          <w:tcPr>
            <w:tcW w:type="dxa" w:w="7776"/>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4"/>
              </w:rPr>
              <w:t>共同规制职业主体之间的诚实陈述、承诺履行、利益管理和合作方式。保护对象包括委托方、同行、专业团队、机构及职业共同体；主要功能是维持可依赖、公平和可持续的职业关系。</w:t>
            </w:r>
          </w:p>
        </w:tc>
        <w:tc>
          <w:tcPr>
            <w:tcW w:type="dxa" w:w="6048"/>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4"/>
              </w:rPr>
              <w:t>这些规范主要处理职业主体如何与他人建立、维持和约束合作。</w:t>
            </w:r>
          </w:p>
        </w:tc>
      </w:tr>
      <w:tr>
        <w:trPr>
          <w:cantSplit w:val="true"/>
        </w:trPr>
        <w:tc>
          <w:tcPr>
            <w:tcW w:type="dxa" w:w="3240"/>
            <w:vAlign w:val="center"/>
            <w:tcMar>
              <w:top w:w="45" w:type="dxa"/>
              <w:start w:w="55" w:type="dxa"/>
              <w:bottom w:w="45" w:type="dxa"/>
              <w:end w:w="55" w:type="dxa"/>
            </w:tcMar>
            <w:shd w:fill="E2F0D9"/>
          </w:tcPr>
          <w:p>
            <w:pPr>
              <w:spacing w:before="0" w:after="0" w:line="240" w:lineRule="auto"/>
              <w:jc w:val="center"/>
            </w:pPr>
            <w:r/>
            <w:r>
              <w:rPr>
                <w:rFonts w:ascii="Arial" w:hAnsi="Arial" w:eastAsia="Noto Sans CJK SC"/>
                <w:b/>
                <w:i w:val="0"/>
                <w:sz w:val="14"/>
              </w:rPr>
              <w:t>正义、权利与公平参与</w:t>
            </w:r>
          </w:p>
        </w:tc>
        <w:tc>
          <w:tcPr>
            <w:tcW w:type="dxa" w:w="5040"/>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4"/>
              </w:rPr>
              <w:t>7 公平/中立；17 知识产权保护；20 公平报酬；22 算法公平；25 译者著作权利；27 语言可及性/无障碍保障</w:t>
            </w:r>
          </w:p>
        </w:tc>
        <w:tc>
          <w:tcPr>
            <w:tcW w:type="dxa" w:w="7776"/>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4"/>
              </w:rPr>
              <w:t>共同处理权利、机会、资源、风险和收益如何被分配。保护对象覆盖沟通当事人、译者与创作者、语言文化群体、弱势群体和残障人士；主要功能是防止偏袒、侵权、剥削、歧视和排除。</w:t>
            </w:r>
          </w:p>
        </w:tc>
        <w:tc>
          <w:tcPr>
            <w:tcW w:type="dxa" w:w="6048"/>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4"/>
              </w:rPr>
              <w:t>这些规范都关注谁获得平等服务、谁承担风险、谁享有成果和谁能参与沟通。</w:t>
            </w:r>
          </w:p>
        </w:tc>
      </w:tr>
      <w:tr>
        <w:trPr>
          <w:cantSplit w:val="true"/>
        </w:trPr>
        <w:tc>
          <w:tcPr>
            <w:tcW w:type="dxa" w:w="3240"/>
            <w:vAlign w:val="center"/>
            <w:tcMar>
              <w:top w:w="45" w:type="dxa"/>
              <w:start w:w="55" w:type="dxa"/>
              <w:bottom w:w="45" w:type="dxa"/>
              <w:end w:w="55" w:type="dxa"/>
            </w:tcMar>
            <w:shd w:fill="F4CCCC"/>
          </w:tcPr>
          <w:p>
            <w:pPr>
              <w:spacing w:before="0" w:after="0" w:line="240" w:lineRule="auto"/>
              <w:jc w:val="center"/>
            </w:pPr>
            <w:r/>
            <w:r>
              <w:rPr>
                <w:rFonts w:ascii="Arial" w:hAnsi="Arial" w:eastAsia="Noto Sans CJK SC"/>
                <w:b/>
                <w:i w:val="0"/>
                <w:sz w:val="14"/>
              </w:rPr>
              <w:t>避免伤害与公共责任</w:t>
            </w:r>
          </w:p>
        </w:tc>
        <w:tc>
          <w:tcPr>
            <w:tcW w:type="dxa" w:w="5040"/>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4"/>
              </w:rPr>
              <w:t>12 拒绝有害工作；13 社会责任</w:t>
            </w:r>
          </w:p>
        </w:tc>
        <w:tc>
          <w:tcPr>
            <w:tcW w:type="dxa" w:w="7776"/>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4"/>
              </w:rPr>
              <w:t>都把规范视野从单项委托和交易双方扩展到可预见伤害、社会公众、环境、语言共同体及长期后果。前者强调阻断具体有害任务，后者强调评估和承担系统性公共影响。</w:t>
            </w:r>
          </w:p>
        </w:tc>
        <w:tc>
          <w:tcPr>
            <w:tcW w:type="dxa" w:w="6048"/>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4"/>
              </w:rPr>
              <w:t>二者共同要求语言专业活动不仅对合同相对方负责，也对更广泛的社会后果负责。</w:t>
            </w:r>
          </w:p>
        </w:tc>
      </w:tr>
      <w:tr>
        <w:trPr>
          <w:cantSplit w:val="true"/>
        </w:trPr>
        <w:tc>
          <w:tcPr>
            <w:tcW w:type="dxa" w:w="3240"/>
            <w:vAlign w:val="center"/>
            <w:tcMar>
              <w:top w:w="45" w:type="dxa"/>
              <w:start w:w="55" w:type="dxa"/>
              <w:bottom w:w="45" w:type="dxa"/>
              <w:end w:w="55" w:type="dxa"/>
            </w:tcMar>
            <w:shd w:fill="E4DFEC"/>
          </w:tcPr>
          <w:p>
            <w:pPr>
              <w:spacing w:before="0" w:after="0" w:line="240" w:lineRule="auto"/>
              <w:jc w:val="center"/>
            </w:pPr>
            <w:r/>
            <w:r>
              <w:rPr>
                <w:rFonts w:ascii="Arial" w:hAnsi="Arial" w:eastAsia="Noto Sans CJK SC"/>
                <w:b/>
                <w:i w:val="0"/>
                <w:sz w:val="14"/>
              </w:rPr>
              <w:t>透明、技术控制与责任治理</w:t>
            </w:r>
          </w:p>
        </w:tc>
        <w:tc>
          <w:tcPr>
            <w:tcW w:type="dxa" w:w="5040"/>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4"/>
              </w:rPr>
              <w:t>16 透明度；18 技术使用规范；21 人机协作规范；23 可解释性；29 问责制/责任归属</w:t>
            </w:r>
          </w:p>
        </w:tc>
        <w:tc>
          <w:tcPr>
            <w:tcW w:type="dxa" w:w="7776"/>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4"/>
              </w:rPr>
              <w:t>共同处理技术使用中的信息披露、权限安排、人类控制、可理解性、责任追踪和救济。作用阶段贯穿使用前、部署中和问题发生后；保护对象包括用户、专业人员、受影响者、机构和公众。</w:t>
            </w:r>
          </w:p>
        </w:tc>
        <w:tc>
          <w:tcPr>
            <w:tcW w:type="dxa" w:w="6048"/>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4"/>
              </w:rPr>
              <w:t>这些规范共同回答技术如何被选择、解释、监督和追责。</w:t>
            </w:r>
          </w:p>
        </w:tc>
      </w:tr>
    </w:tbl>
    <w:p>
      <w:pPr>
        <w:spacing w:before="140" w:after="60" w:line="259" w:lineRule="auto"/>
      </w:pPr>
      <w:r>
        <w:rPr>
          <w:rFonts w:ascii="Arial" w:hAnsi="Arial" w:eastAsia="Noto Sans CJK SC"/>
          <w:b/>
          <w:i w:val="0"/>
          <w:color w:val="1F4E79"/>
          <w:sz w:val="26"/>
        </w:rPr>
        <w:t>七、边界维度与反向核验</w:t>
      </w:r>
    </w:p>
    <w:p>
      <w:pPr>
        <w:spacing w:before="0" w:after="80" w:line="259" w:lineRule="auto"/>
      </w:pPr>
      <w:r>
        <w:rPr>
          <w:rFonts w:ascii="Arial" w:hAnsi="Arial" w:eastAsia="Noto Sans CJK SC"/>
          <w:b w:val="0"/>
          <w:i w:val="0"/>
          <w:sz w:val="18"/>
        </w:rPr>
        <w:t>部分维度可以同时关联两个以上主题。为避免重复计数，矩阵使用一个“主要归属”，但通过次要价值和边界说明保留其交叉属性。</w:t>
      </w:r>
    </w:p>
    <w:tbl>
      <w:tblPr>
        <w:tblStyle w:val="TableGrid"/>
        <w:tblW w:type="auto" w:w="0"/>
        <w:jc w:val="center"/>
        <w:tblLayout w:type="fixed"/>
        <w:tblLook w:firstColumn="1" w:firstRow="1" w:lastColumn="0" w:lastRow="0" w:noHBand="0" w:noVBand="1" w:val="04A0"/>
      </w:tblPr>
      <w:tblGrid>
        <w:gridCol w:w="7575"/>
        <w:gridCol w:w="7575"/>
        <w:gridCol w:w="7575"/>
      </w:tblGrid>
      <w:tr>
        <w:trPr>
          <w:tblHeader w:val="true"/>
        </w:trPr>
        <w:tc>
          <w:tcPr>
            <w:tcW w:type="dxa" w:w="3888"/>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b/>
                <w:i w:val="0"/>
                <w:color w:val="FFFFFF"/>
                <w:sz w:val="16"/>
              </w:rPr>
              <w:t>边界维度</w:t>
            </w:r>
          </w:p>
        </w:tc>
        <w:tc>
          <w:tcPr>
            <w:tcW w:type="dxa" w:w="5328"/>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b/>
                <w:i w:val="0"/>
                <w:color w:val="FFFFFF"/>
                <w:sz w:val="16"/>
              </w:rPr>
              <w:t>主要归属</w:t>
            </w:r>
          </w:p>
        </w:tc>
        <w:tc>
          <w:tcPr>
            <w:tcW w:type="dxa" w:w="12887"/>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b/>
                <w:i w:val="0"/>
                <w:color w:val="FFFFFF"/>
                <w:sz w:val="16"/>
              </w:rPr>
              <w:t>边界判断依据</w:t>
            </w:r>
          </w:p>
        </w:tc>
      </w:tr>
      <w:tr>
        <w:trPr>
          <w:cantSplit w:val="true"/>
        </w:trPr>
        <w:tc>
          <w:tcPr>
            <w:tcW w:type="dxa" w:w="3888"/>
            <w:vAlign w:val="center"/>
            <w:tcMar>
              <w:top w:w="45" w:type="dxa"/>
              <w:start w:w="55" w:type="dxa"/>
              <w:bottom w:w="45" w:type="dxa"/>
              <w:end w:w="55" w:type="dxa"/>
            </w:tcMar>
          </w:tcPr>
          <w:p>
            <w:pPr>
              <w:spacing w:before="0" w:after="0" w:line="240" w:lineRule="auto"/>
              <w:jc w:val="left"/>
            </w:pPr>
            <w:r/>
            <w:r>
              <w:rPr>
                <w:rFonts w:ascii="Arial" w:hAnsi="Arial" w:eastAsia="Noto Sans CJK SC"/>
                <w:b/>
                <w:i w:val="0"/>
                <w:sz w:val="15"/>
              </w:rPr>
              <w:t>19 角色界限</w:t>
            </w:r>
          </w:p>
        </w:tc>
        <w:tc>
          <w:tcPr>
            <w:tcW w:type="dxa" w:w="5328"/>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5"/>
              </w:rPr>
              <w:t>主要归入“人格、信息与自主权保护”</w:t>
            </w:r>
          </w:p>
        </w:tc>
        <w:tc>
          <w:tcPr>
            <w:tcW w:type="dxa" w:w="12887"/>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5"/>
              </w:rPr>
              <w:t>它最直接防止专业人员或系统越权替当事人表达、建议或作决定；同时次要关联职业诚信。</w:t>
            </w:r>
          </w:p>
        </w:tc>
      </w:tr>
      <w:tr>
        <w:trPr>
          <w:cantSplit w:val="true"/>
        </w:trPr>
        <w:tc>
          <w:tcPr>
            <w:tcW w:type="dxa" w:w="3888"/>
            <w:vAlign w:val="center"/>
            <w:tcMar>
              <w:top w:w="45" w:type="dxa"/>
              <w:start w:w="55" w:type="dxa"/>
              <w:bottom w:w="45" w:type="dxa"/>
              <w:end w:w="55" w:type="dxa"/>
            </w:tcMar>
          </w:tcPr>
          <w:p>
            <w:pPr>
              <w:spacing w:before="0" w:after="0" w:line="240" w:lineRule="auto"/>
              <w:jc w:val="left"/>
            </w:pPr>
            <w:r/>
            <w:r>
              <w:rPr>
                <w:rFonts w:ascii="Arial" w:hAnsi="Arial" w:eastAsia="Noto Sans CJK SC"/>
                <w:b/>
                <w:i w:val="0"/>
                <w:sz w:val="15"/>
              </w:rPr>
              <w:t>9 文化/语言能力</w:t>
            </w:r>
          </w:p>
        </w:tc>
        <w:tc>
          <w:tcPr>
            <w:tcW w:type="dxa" w:w="5328"/>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5"/>
              </w:rPr>
              <w:t>主要归入“沟通真实性与专业可靠性”</w:t>
            </w:r>
          </w:p>
        </w:tc>
        <w:tc>
          <w:tcPr>
            <w:tcW w:type="dxa" w:w="12887"/>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5"/>
              </w:rPr>
              <w:t>它首先防止文化误读和语境失配，保障理解可靠；同时次要关联语言文化多样性。</w:t>
            </w:r>
          </w:p>
        </w:tc>
      </w:tr>
      <w:tr>
        <w:trPr>
          <w:cantSplit w:val="true"/>
        </w:trPr>
        <w:tc>
          <w:tcPr>
            <w:tcW w:type="dxa" w:w="3888"/>
            <w:vAlign w:val="center"/>
            <w:tcMar>
              <w:top w:w="45" w:type="dxa"/>
              <w:start w:w="55" w:type="dxa"/>
              <w:bottom w:w="45" w:type="dxa"/>
              <w:end w:w="55" w:type="dxa"/>
            </w:tcMar>
          </w:tcPr>
          <w:p>
            <w:pPr>
              <w:spacing w:before="0" w:after="0" w:line="240" w:lineRule="auto"/>
              <w:jc w:val="left"/>
            </w:pPr>
            <w:r/>
            <w:r>
              <w:rPr>
                <w:rFonts w:ascii="Arial" w:hAnsi="Arial" w:eastAsia="Noto Sans CJK SC"/>
                <w:b/>
                <w:i w:val="0"/>
                <w:sz w:val="15"/>
              </w:rPr>
              <w:t>16 透明度</w:t>
            </w:r>
          </w:p>
        </w:tc>
        <w:tc>
          <w:tcPr>
            <w:tcW w:type="dxa" w:w="5328"/>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5"/>
              </w:rPr>
              <w:t>主要归入“透明、技术控制与责任治理”</w:t>
            </w:r>
          </w:p>
        </w:tc>
        <w:tc>
          <w:tcPr>
            <w:tcW w:type="dxa" w:w="12887"/>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5"/>
              </w:rPr>
              <w:t>它是技术治理的前提，使能力边界和风险可被理解；同时也服务于知情选择和自主权。</w:t>
            </w:r>
          </w:p>
        </w:tc>
      </w:tr>
      <w:tr>
        <w:trPr>
          <w:cantSplit w:val="true"/>
        </w:trPr>
        <w:tc>
          <w:tcPr>
            <w:tcW w:type="dxa" w:w="3888"/>
            <w:vAlign w:val="center"/>
            <w:tcMar>
              <w:top w:w="45" w:type="dxa"/>
              <w:start w:w="55" w:type="dxa"/>
              <w:bottom w:w="45" w:type="dxa"/>
              <w:end w:w="55" w:type="dxa"/>
            </w:tcMar>
          </w:tcPr>
          <w:p>
            <w:pPr>
              <w:spacing w:before="0" w:after="0" w:line="240" w:lineRule="auto"/>
              <w:jc w:val="left"/>
            </w:pPr>
            <w:r/>
            <w:r>
              <w:rPr>
                <w:rFonts w:ascii="Arial" w:hAnsi="Arial" w:eastAsia="Noto Sans CJK SC"/>
                <w:b/>
                <w:i w:val="0"/>
                <w:sz w:val="15"/>
              </w:rPr>
              <w:t>17 知识产权保护与25译者著作权利</w:t>
            </w:r>
          </w:p>
        </w:tc>
        <w:tc>
          <w:tcPr>
            <w:tcW w:type="dxa" w:w="5328"/>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5"/>
              </w:rPr>
              <w:t>主要归入“正义、权利与公平参与”</w:t>
            </w:r>
          </w:p>
        </w:tc>
        <w:tc>
          <w:tcPr>
            <w:tcW w:type="dxa" w:w="12887"/>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5"/>
              </w:rPr>
              <w:t>二者都涉及权利和收益的合理分配，但17侧重第三方内容合规，25侧重译者自身的作者与劳动权利。</w:t>
            </w:r>
          </w:p>
        </w:tc>
      </w:tr>
      <w:tr>
        <w:trPr>
          <w:cantSplit w:val="true"/>
        </w:trPr>
        <w:tc>
          <w:tcPr>
            <w:tcW w:type="dxa" w:w="3888"/>
            <w:vAlign w:val="center"/>
            <w:tcMar>
              <w:top w:w="45" w:type="dxa"/>
              <w:start w:w="55" w:type="dxa"/>
              <w:bottom w:w="45" w:type="dxa"/>
              <w:end w:w="55" w:type="dxa"/>
            </w:tcMar>
          </w:tcPr>
          <w:p>
            <w:pPr>
              <w:spacing w:before="0" w:after="0" w:line="240" w:lineRule="auto"/>
              <w:jc w:val="left"/>
            </w:pPr>
            <w:r/>
            <w:r>
              <w:rPr>
                <w:rFonts w:ascii="Arial" w:hAnsi="Arial" w:eastAsia="Noto Sans CJK SC"/>
                <w:b/>
                <w:i w:val="0"/>
                <w:sz w:val="15"/>
              </w:rPr>
              <w:t>10 错误更正义务</w:t>
            </w:r>
          </w:p>
        </w:tc>
        <w:tc>
          <w:tcPr>
            <w:tcW w:type="dxa" w:w="5328"/>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5"/>
              </w:rPr>
              <w:t>主要归入“沟通真实性与专业可靠性”</w:t>
            </w:r>
          </w:p>
        </w:tc>
        <w:tc>
          <w:tcPr>
            <w:tcW w:type="dxa" w:w="12887"/>
            <w:vAlign w:val="center"/>
            <w:tcMar>
              <w:top w:w="45" w:type="dxa"/>
              <w:start w:w="55" w:type="dxa"/>
              <w:bottom w:w="45" w:type="dxa"/>
              <w:end w:w="55" w:type="dxa"/>
            </w:tcMar>
          </w:tcPr>
          <w:p>
            <w:pPr>
              <w:spacing w:before="0" w:after="0" w:line="240" w:lineRule="auto"/>
              <w:jc w:val="left"/>
            </w:pPr>
            <w:r/>
            <w:r>
              <w:rPr>
                <w:rFonts w:ascii="Arial" w:hAnsi="Arial" w:eastAsia="Noto Sans CJK SC"/>
                <w:b w:val="0"/>
                <w:i w:val="0"/>
                <w:sz w:val="15"/>
              </w:rPr>
              <w:t>它发生在错误被发现后，以恢复准确性和可信度为直接功能；问责和系统持续改进只是次要关联。</w:t>
            </w:r>
          </w:p>
        </w:tc>
      </w:tr>
    </w:tbl>
    <w:p>
      <w:pPr>
        <w:spacing w:before="140" w:after="60" w:line="259" w:lineRule="auto"/>
      </w:pPr>
      <w:r>
        <w:rPr>
          <w:rFonts w:ascii="Arial" w:hAnsi="Arial" w:eastAsia="Noto Sans CJK SC"/>
          <w:b/>
          <w:i w:val="0"/>
          <w:color w:val="1F4E79"/>
          <w:sz w:val="26"/>
        </w:rPr>
        <w:t>八、论文中可使用的方法表述</w:t>
      </w:r>
    </w:p>
    <w:p>
      <w:pPr>
        <w:spacing w:before="0" w:after="80" w:line="259" w:lineRule="auto"/>
      </w:pPr>
      <w:r>
        <w:rPr>
          <w:rFonts w:ascii="Arial" w:hAnsi="Arial" w:eastAsia="Noto Sans CJK SC"/>
          <w:b w:val="0"/>
          <w:i w:val="0"/>
          <w:sz w:val="18"/>
        </w:rPr>
        <w:t>在条款级编码完成后，本研究将29个一阶伦理维度视为主题综合中的描述性主题。依据Thomas与Harden（2008）的三阶段逻辑，研究者横向比较各维度的直接规范对象、保护对象、作用阶段和主要规范功能，识别跨维度反复出现的保护目的与规范功能，并据此生成六个分析性规范主题。四项属性被用作主题形成的审计线索，而非独立的方法体系。六个主题随后通过原始条款反查、边界案例、反例和场景压力测试进行修订。</w:t>
      </w:r>
    </w:p>
    <w:p>
      <w:pPr>
        <w:spacing w:before="0" w:after="100" w:line="259" w:lineRule="auto"/>
      </w:pPr>
      <w:r>
        <w:rPr>
          <w:rFonts w:ascii="Arial" w:hAnsi="Arial" w:eastAsia="Noto Sans CJK SC"/>
          <w:b w:val="0"/>
          <w:i/>
          <w:color w:val="414141"/>
          <w:sz w:val="17"/>
        </w:rPr>
        <w:t>Following clause-level coding, the 29 first-order ethical dimensions were treated as descriptive themes in an adapted thematic synthesis. Drawing on Thomas and Harden’s three-stage logic, the dimensions were compared in terms of their direct normative objects, protected interests, stages of intervention, and primary normative functions. Recurrent similarities in these attributes were used to generate six researcher-constructed analytical normative themes. These attributes served as an audit trail for theme development rather than as separate analytic methodologies. The six themes were subsequently checked against source clauses, boundary cases, counterexamples, and scenario-based stress tests.</w:t>
      </w:r>
    </w:p>
    <w:p>
      <w:pPr>
        <w:spacing w:before="100" w:after="40" w:line="259" w:lineRule="auto"/>
      </w:pPr>
      <w:r>
        <w:rPr>
          <w:rFonts w:ascii="Arial" w:hAnsi="Arial" w:eastAsia="Noto Sans CJK SC"/>
          <w:b/>
          <w:i w:val="0"/>
          <w:color w:val="1F4E79"/>
          <w:sz w:val="24"/>
        </w:rPr>
        <w:t>参考文献</w:t>
      </w:r>
    </w:p>
    <w:p>
      <w:pPr>
        <w:spacing w:before="0" w:after="80" w:line="259" w:lineRule="auto"/>
      </w:pPr>
      <w:r>
        <w:rPr>
          <w:rFonts w:ascii="Arial" w:hAnsi="Arial" w:eastAsia="Noto Sans CJK SC"/>
          <w:b w:val="0"/>
          <w:i w:val="0"/>
          <w:sz w:val="17"/>
        </w:rPr>
        <w:t>Thomas, J., &amp; Harden, A. (2008). Methods for the thematic synthesis of qualitative research in systematic reviews. BMC Medical Research Methodology, 8, 45. https://doi.org/10.1186/1471-2288-8-45</w:t>
      </w:r>
    </w:p>
    <w:p>
      <w:pPr>
        <w:spacing w:before="0" w:after="80" w:line="259" w:lineRule="auto"/>
      </w:pPr>
      <w:r>
        <w:rPr>
          <w:rFonts w:ascii="Arial" w:hAnsi="Arial" w:eastAsia="Noto Sans CJK SC"/>
          <w:b w:val="0"/>
          <w:i w:val="0"/>
          <w:sz w:val="17"/>
        </w:rPr>
        <w:t>Ross, W. D. (1930/2002). The Right and the Good. Oxford University Press.</w:t>
      </w:r>
    </w:p>
    <w:sectPr w:rsidR="00FC693F" w:rsidRPr="0006063C" w:rsidSect="00034616">
      <w:headerReference w:type="default" r:id="rId9"/>
      <w:footerReference w:type="default" r:id="rId10"/>
      <w:pgSz w:w="23818" w:h="16834" w:orient="landscape"/>
      <w:pgMar w:top="547" w:right="547" w:bottom="547" w:left="547" w:header="259" w:footer="25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Noto Sans CJK SC"/>
        <w:b w:val="0"/>
        <w:i w:val="0"/>
        <w:color w:val="5F5F5F"/>
        <w:sz w:val="15"/>
      </w:rPr>
      <w:t>29维伦理向上提炼矩阵｜主题综合审计版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29维伦理向上提炼矩阵：表格完整显示与六主题生成说明</dc:title>
  <dc:subject/>
  <dc:creator>Research working document</dc:creator>
  <cp:keywords/>
  <dc:description>generated by python-docx</dc:description>
  <cp:lastModifiedBy/>
  <cp:revision>1</cp:revision>
  <dcterms:created xsi:type="dcterms:W3CDTF">2013-12-23T23:15:00Z</dcterms:created>
  <dcterms:modified xsi:type="dcterms:W3CDTF">2013-12-23T23:15:00Z</dcterms:modified>
  <cp:category/>
</cp:coreProperties>
</file>