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Arial" w:hAnsi="Arial" w:eastAsia="Noto Sans CJK SC" w:cs="Arial"/>
          <w:b/>
          <w:color w:val="1F4E79"/>
          <w:sz w:val="40"/>
        </w:rPr>
        <w:t>人机协作口译统一伦理框架：设计命题与29维映射表</w:t>
      </w:r>
    </w:p>
    <w:p>
      <w:pPr>
        <w:spacing w:before="0" w:after="120" w:line="259" w:lineRule="auto"/>
        <w:jc w:val="center"/>
      </w:pPr>
      <w:r>
        <w:rPr>
          <w:rFonts w:ascii="Arial" w:hAnsi="Arial" w:eastAsia="Noto Sans CJK SC" w:cs="Arial"/>
          <w:b w:val="0"/>
          <w:color w:val="505050"/>
          <w:sz w:val="21"/>
        </w:rPr>
        <w:t>Human–AI Collaborative Interpreting Ethics: Design Propositions and Mapping of 29 Dimensions</w:t>
      </w:r>
    </w:p>
    <w:p>
      <w:pPr>
        <w:spacing w:after="80"/>
      </w:pPr>
      <w:r>
        <w:rPr>
          <w:rFonts w:ascii="Arial" w:hAnsi="Arial" w:eastAsia="Noto Sans CJK SC" w:cs="Arial"/>
          <w:b/>
          <w:color w:val="1F4E79"/>
          <w:sz w:val="19"/>
        </w:rPr>
        <w:t>用途：</w:t>
      </w:r>
      <w:r>
        <w:rPr>
          <w:rFonts w:ascii="Arial" w:hAnsi="Arial" w:eastAsia="Noto Sans CJK SC" w:cs="Arial"/>
          <w:sz w:val="19"/>
        </w:rPr>
        <w:t>将四类语料的共性—差异—缺口结果，转化为可用于人机协作口译的责任分配、场景要求、冲突规则与最终规范条款。</w:t>
      </w:r>
    </w:p>
    <w:p>
      <w:pPr>
        <w:spacing w:after="80"/>
      </w:pPr>
      <w:r>
        <w:rPr>
          <w:rFonts w:ascii="Arial" w:hAnsi="Arial" w:eastAsia="Noto Sans CJK SC" w:cs="Arial"/>
          <w:b/>
          <w:color w:val="1F4E79"/>
          <w:sz w:val="19"/>
        </w:rPr>
        <w:t>立场文件的使用方式：</w:t>
      </w:r>
      <w:r>
        <w:rPr>
          <w:rFonts w:ascii="Arial" w:hAnsi="Arial" w:eastAsia="Noto Sans CJK SC" w:cs="Arial"/>
          <w:sz w:val="19"/>
        </w:rPr>
        <w:t>10份AI/MT position papers作为“规范创新来源”和“桥接证据”，主要补充传统职业守则较少涉及的数据、算法、透明、人类控制、劳动权利和分布式问责。为避免主表过宽，其借鉴依据列于附表，而非另设主表第九栏。</w:t>
      </w:r>
    </w:p>
    <w:p>
      <w:pPr>
        <w:spacing w:before="60" w:after="60" w:line="259" w:lineRule="auto"/>
      </w:pPr>
      <w:r>
        <w:rPr>
          <w:rFonts w:ascii="Arial" w:hAnsi="Arial" w:eastAsia="Noto Sans CJK SC" w:cs="Arial"/>
          <w:b/>
          <w:color w:val="1F4E79"/>
          <w:sz w:val="26"/>
        </w:rPr>
        <w:t>一、框架设计命题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连续性：准确、保密、胜任、公平、角色界限等传统口译伦理在AI环境中继续有效。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重新具体化：同一价值在人与技术语境中的实现方式不同，例如个人守密需扩展为数据全生命周期治理。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不可转让的人类责任：语境判断、风险判断、人工接管、角色边界和对当事人自主性的尊重不能整体外包给系统。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风险比例原则：AI参与程度、测试强度、披露、同意与人工监督应随场景风险、可逆性和潜在伤害而提高。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分布式问责：责任须覆盖开发者、供应商、采购方、服务机构、译员和其他专业人员，不得形成责任真空。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7"/>
        </w:rPr>
        <w:t>人本目的：技术应服务于真实理解、人格尊严、自主参与、公平可及和安全合作，而非把效率或成本作为唯一目标。</w:t>
      </w:r>
    </w:p>
    <w:p>
      <w:pPr>
        <w:spacing w:before="40" w:after="100" w:line="259" w:lineRule="auto"/>
      </w:pPr>
      <w:r>
        <w:rPr>
          <w:rFonts w:ascii="Arial" w:hAnsi="Arial" w:eastAsia="Noto Sans CJK SC" w:cs="Arial"/>
          <w:b w:val="0"/>
          <w:color w:val="505050"/>
          <w:sz w:val="16"/>
        </w:rPr>
        <w:t>框架地位代码：C＝延续性核心（Continuity）；R＝AI情境下重新具体化（Respecification）；A＝AI治理新增（Addition）；B＝连接人类职业伦理与技术治理的桥接原则（Bridge）。</w:t>
      </w:r>
    </w:p>
    <w:p>
      <w:pPr>
        <w:spacing w:before="40" w:after="80" w:line="259" w:lineRule="auto"/>
      </w:pPr>
      <w:r>
        <w:rPr>
          <w:rFonts w:ascii="Arial" w:hAnsi="Arial" w:eastAsia="Noto Sans CJK SC" w:cs="Arial"/>
          <w:b/>
          <w:color w:val="1F4E79"/>
          <w:sz w:val="26"/>
        </w:rPr>
        <w:t>二、29维设计命题与统一框架映射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8"/>
        <w:gridCol w:w="2848"/>
        <w:gridCol w:w="2848"/>
        <w:gridCol w:w="2848"/>
        <w:gridCol w:w="2848"/>
        <w:gridCol w:w="2848"/>
        <w:gridCol w:w="2848"/>
        <w:gridCol w:w="2848"/>
      </w:tblGrid>
      <w:tr>
        <w:trPr>
          <w:tblHeader w:val="true"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一阶维度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共性/差异发现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框架地位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人类责任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技术/机构责任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口译情境化要求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冲突与例外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最终框架表述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1. 保密性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共性—同值异形。伦理目标连续，但责任载体从“译员不说”扩展为访问控制、供应商政策、系统安全与机构监督。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延续并技术化扩展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译员对履职中获知的信息持续守密；仅在授权、法律要求或防止迫近重大伤害时作最小必要披露；发现泄露风险立即报告。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机构批准平台并实施端到端安全、访问控制、加密、录制/留存限制和泄露通知；供应商不得将内容用于未授权训练。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实时音视频、声纹、远程平台录制及云端转写使口译保密风险高于普通文本输入，不能仅沿用个人守密条款。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与法定披露、迫近重大伤害预防、跨专业协作相冲突时，只作合法、必要且比例适当的最小披露，并记录理由。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所有参与人机口译的主体均应保护履职信息；服务机构须实施数据最小化、安全平台、受控录制与留存，并建立泄露通知和追责机制。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2. 胜任能力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共性—共享核心。“胜任”由人的资质门槛扩展为人、系统和工作流三重适配：谁能做、工具能否做、组合是否适合做。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共享核心／重新具体化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任务前评估自身语言、专业、技术与场景能力；核验AI是否适合该语言组合和风险等级；能力不足时拒绝、升级或要求人工替代。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供应商提供按语言、口音、场景和风险分层的性能证据及明确禁用范围；机构建立工具准入、验证、再评估和人员培训制度。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口译无法依靠充分后编辑，能力判断必须在任务前完成，并按语言、口音、场景和风险等级细化。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紧急情境中缺少合格人员不等于AI自动合格；只能在风险评估、明确告知、人工监测和可接管条件下临时使用。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只有在译员、系统与工作流均与语言组合、场景及风险等级相适配时方可采用人机协作；任何一环不胜任均应拒绝、升级或改用替代方案。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3. 忠实/准确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共性—共享核心。职业伦理把准确视为译员行为义务；技术治理把它转化为可测试的系统性能、适用边界和审核责任。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共享核心／重新具体化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对最终传达的意义、语气、意图和互动效果进行专业判断；不得把未经核验的系统输出直接当作可靠译文。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系统应接受场景化准确性测试，提供置信或风险提示；机构配置人工审核、接管通道、错误记录和复盘机制。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口译错误即时进入互动、难以撤回，还会改变发言轮次和程序结果，因此准确性必须结合即时干预能力。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摘要传译、易读改写或风险提示并非当然失真，但须事先说明并获授权；不能以“安全”为名任意改写。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人机协作口译须以完整、准确和语境适切的意义传达为目标；系统输出须经与风险相称的人类核验，并具备实时纠错和接管机制。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4. 诚信/职业操守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差异—职业伦理突出。从个人德性和职业身份，转向企业行为、产品宣称与采购治理；但技术文件中显性“诚信”语言仍较弱。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人类核心／组织化扩展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如实陈述个人资质、AI参与程度和审核程度；不得伪称纯人工、已核验或无风险；遇组织误导时提出异议。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机构和供应商真实宣传性能、人工参与、认证和局限；采购、营销和合同不得用模糊表述转移风险。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口译服务链中，机构可能比译员更能决定AI是否使用、如何宣传和如何收费，诚信义务必须覆盖组织。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对机构忠诚不得压倒公共安全、诚实披露和举报重大风险的义务。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译员、机构和供应商均负有诚实义务，应真实说明资质、系统能力、AI参与和人工审核程度，不得以宣传或合同语言误导服务对象。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5. 持续专业发展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差异—职业伦理突出。传统CPD围绕语言和专业技能；人机环境需要增加模型局限、数据风险、故障应对和人工接管训练。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人类不可转让义务／AI素养扩展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持续更新语言、专业知识、AI素养、数据风险和故障应对能力；参加版本更新培训和人工接管演练。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机构为译员、管理者和采购者提供角色化持续培训；系统重大更新前须完成再验证和变更培训。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系统快速迭代会使一次性培训迅速过时，口译员和采购/管理人员都需持续更新。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培训资源有限时可按角色和风险分层，但不能把未培训人员配置到高风险任务。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相关人员应持续更新专业能力和AI素养；机构须提供按角色与风险分级的培训、再验证和故障演练。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6. 合同/承诺遵守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差异—职业伦理突出。AI使用会引入供应商、平台和数据条款，但现有治理文本尚未充分把这些问题转写为合同伦理。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延续／AI合同披露扩展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在承接前确认AI参与、录制、数据用途、人工备援、故障处置和责任安排；未经同意不得擅自改变服务模式。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合同明确数据处理者、供应商、平台、人工译员的义务、服务级别、停机备援、审计权和责任分配。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口译任务需事先约定AI参与程度、录制、数据去向、人工备援、故障处置和责任承担。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突发故障可临时调整模式，但须立即告知、记录、提供替代并在事后确认。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任务开始前应明确AI参与、数据用途、录制留存、人工备援、故障处置和责任分配；重大变更须重新告知并取得必要同意。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7. 公平/中立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共性—概念转化。人类语境是行为选择与关系中立；技术语境是数据、设计和服务分配造成的结构性不平等。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共享核心／与算法公平区分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对各方保持程序性公正，不因个人立场、系统建议或界面排序偏袒任何一方；识别并纠正可能影响中立的技术偏差。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机构保障程序设计不诱导偏袒；系统界面与推荐不应系统性优待某方；建立申诉和复核渠道。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机器输出看似“中立”但可能隐藏训练偏差；同时人工监督者仍面临传统利益和立场冲突。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中立不等于对结构性不平等保持沉默；为保障可及性进行程序性干预不应被视为偏袒。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人机口译应保障各方程序性平等；人类偏袒与算法偏差均须被预防、识别、纠正并允许申诉。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8. 质量保证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共性—技术治理强化。质量从个体专业努力扩展为可记录、可测试、可审计的全生命周期治理。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共享核心／技术治理强化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执行任务前检查、实时监测、抽样复核和事后复盘；高风险场景不得以时间压力完全取消质量控制。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建立测试、监控、日志、版本管理、人工抽检和事件复盘；高风险服务设置更严格阈值与冗余。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口译质量不仅是语言准确，还包括延迟、音视频稳定、说话人区分、语调和实时恢复能力。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速度、成本和连续服务不能自动压倒质量；若最低安全阈值无法满足，应降级、暂停或改用人工。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机构须建立覆盖准入测试、实时监测、人工抽检、版本管理、事故复盘和持续改进的分级质量保证体系。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9. 文化/语言能力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差异—技术/外部突出。文化能力由个人知识属性扩展为训练数据代表性、语言资源分配和模型本地化问题。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人类核心／系统适用性扩展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结合语境、方言、文化隐喻、身份称谓和非语言信息判断系统输出；避免把统计性模式当作个体文化事实。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披露训练数据和语言覆盖的局限；按方言、口音、文化语境测试，不以总体平均性能掩盖低资源语言缺陷。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口译高度依赖非言语线索、地区口音、语用和权力关系，不能把文化能力简化为词汇正确率。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文化适配不得演变为刻板印象或擅自替当事人解释动机；适配应以可验证语境为依据。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人机口译须尊重语言与文化语境；系统应按语言、方言、口音和文化场景验证，人类须对语境适切性保留最终判断。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10. 错误更正义务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缺口—AI补救不足。自动系统可能持续重复同类错误，但现有文件更重部署前验证，事中纠错流程相对不足。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共享补救原则／实时化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发现实质性错误时立即、明确且可识别地纠正；必要时中止AI输出、请求重述并记录错误与处置。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系统提供可中断、可更正、可标记和可追溯功能；机构规定即时通知、补救、复盘和受影响方告知程序。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实时口译必须有可被用户理解的停机、纠错、回退人工和记录更正机制。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纠错可能中断互动，但只要错误可能影响权利、决定或安全，就应优先即时纠正。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任何可能影响理解、权利或安全的错误均应被及时告知、纠正、记录和补救；系统必须支持暂停、覆盖和追溯。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11. 隐私/数据保护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差异—AI治理新增。从人际守密转向数据基础设施治理，责任延伸到开发者、云平台、供应商、采购方和监管者。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 AI治理新增／保密的技术化延伸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只输入完成任务所必需的数据；避免将敏感内容输入未经批准的平台；遵守同意、去标识化和删除要求。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实施数据最小化、目的限定、权限分层、跨境控制、保留期限、删除和审计；默认不得二次训练。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口译涉及实时音视频、声纹、身份和敏感对话；数据可能在采集、转写、翻译、存储多个环节流动，必须按全生命周期治理。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质量改进、研究或法定留存不当然允许无限收集；须有明确法律/伦理依据、最小化和期限控制。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口译数据的收集、处理、传输、保存、再利用和删除均须遵循目的限定、最小化、合法依据、权限控制和可审计原则。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12. 拒绝有害工作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共性—风险边界。拒绝权从个人职业判断扩展为机构的“不部署/停止部署”义务和采购禁区。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C+B 人类判断核心／机构禁用责任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对违法、歧视、操纵、严重不安全或超出可控范围的任务拒绝使用AI或退出；在迫切场景中优先寻求更安全替代。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机构制定禁止或限制使用清单、风险分级和人工替代方案；供应商不得向高风险用途推销未经验证的系统。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医疗、司法、庇护、危机干预等场景需要清晰的AI禁用或强制人工接管门槛。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在生命安全等紧迫情况下，可使用风险较低的临时方案，但不得隐瞒局限，且应尽快转为更安全服务。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对于违法、歧视、操纵或无法达到最低安全标准的用途，应拒绝或停止AI口译；机构须提供禁用清单、升级路径和人工替代。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13. 社会责任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差异—AI治理新增。责任范围由具体委托关系扩展至社会公众、语言共同体、环境和未来从业者。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R+A 公共责任与系统性后果扩展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在个案之外考虑AI使用对弱势语言、职业生态、公共服务和社会信任的长期影响；报告系统性风险。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开展社会、劳动、文化、环境和语言多样性影响评估；公开重大系统性风险和缓解措施。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公共服务口译涉及平等获得司法、医疗和教育，技术采购不能只以成本和速度衡量。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公共利益主张不得成为突破保密、剥夺劳动权利或忽视当事人的泛化理由；须证明必要性与比例性。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AI口译决策应考虑个案之外的公共利益、职业生态、语言多样性、环境与长期社会后果，并对重大系统性风险负责。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14. 同业团结/合作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差异—职业共同体突出。AI可能重构行业分工并加剧议价不平等，但技术治理文件尚未系统承接传统同业伦理。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 职业共同体核心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与同行共享非机密的风险经验和最佳实践；不以AI为工具恶意压价、贬损同行或隐瞒重大安全问题。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行业组织建立共享事故库、最低安全标准和公平竞争规则；机构不得利用信息不对称压低专业标准。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人机口译需要同行共享故障经验、风险事件和最佳实践，同时避免供应商保密阻碍公共学习。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同业团结不能阻止公平竞争、批评低质量服务或报告严重失职；保护的是共同标准而非行业封闭。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人机协作口译应维护公平、互助和可持续的职业共同体，鼓励共享安全经验，同时允许对低质量和不当行为进行监督与报告。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15. 利益冲突披露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差异—职业伦理独有。传统冲突集中于译员与当事人关系；AI环境新增开发者、供应商、采购者和评测者的商业冲突。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C+B 人类与组织诚信桥接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披露可能影响AI选择、供应商推荐或专业判断的经济和个人利益；必要时回避决策。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机构披露供应商关系、佣金、数据利益和采购冲突；建立独立评审、回避和监督机制。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机构可能因节省成本而夸大自动口译适用性，评估机构也可能与产品方存在利益关系。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披露利益冲突时也应保护无关隐私；只披露足以让相关方判断公正性的重大信息。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任何可能影响技术选择、供应商推荐或专业判断的重大利益关联均应披露、管理或回避；机构须保证采购和评估的独立性。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16. 透明度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差异—AI治理核心。从个体沟通行为转化为产品、流程和供应链的系统性披露义务。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A+B AI治理新增／自主与问责桥接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在服务前或重要变化时，用当事人可理解的方式说明AI是否参与、能力边界、主要风险和人工监督程度。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提供分层、可理解、及时的披露：AI参与、人工监督、数据用途、能力边界、重大变更和已知风险。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披露必须在互动开始前或AI模式改变时完成，且不能以冗长条款替代现场可理解告知。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透明度与保密、网络安全、商业秘密可能冲突；要求的是有意义的风险和决策信息，而非无限公开源代码。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服务对象应及时获得可理解的AI参与、人工监督、数据用途、能力边界和主要风险信息；披露应支持真实选择和责任追溯。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17. 知识产权保护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差异—AI/翻译权利突出。知识产权从单次译作关系扩展到大规模数据训练、模型输出和平台再利用。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A+C 权利延续／AI数据与训练扩展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尊重原作者、数据提供者和权利人的授权条件；不得把受保护材料任意上传、训练或再利用。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建立授权、许可、来源追踪和版权投诉机制；训练与部署数据应有合法依据并与隐私要求分别核验。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口译还涉及录音、转写、发言内容、术语库及口译员声音/表演数据的权利。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法定例外或合理使用须逐案判断；版权许可不能替代隐私、同意和数据保护审查。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人机口译使用的作品、语料和数据须具有合法授权与可追踪来源；知识产权合规不得替代隐私和知情同意审查。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18. 技术使用规范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缺口—被具体维度吸收。低频主要是“具体维度优先”造成的分类结果，不应简单解释为技术使用伦理缺失。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B 核心桥接原则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基于任务目的、风险、语言、场景与替代方案作出比例化技术选择；始终保留专业判断和停止使用的权力。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机构建立风险比例化的技术选用、审批、停用和替代规则；供应商提供真实、可验证的适用性信息。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仍需一个场景入口判断：是否应使用技术、使用何种模式、何时退出；该功能不能完全被下游维度取代。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效率收益不能压倒安全、尊严和专业判断；风险越高，AI自动化程度越应受限。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技术使用须与任务目的、风险和替代方案相称，并始终受专业判断、可停止性、可逆性和人类责任约束。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19. 角色界限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共性—人机边界转化。角色边界由译员与当事人之间，扩展为译员、系统、供应商、机构和用户之间的权限配置。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人类核心／人机边界扩展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不得把专业建议、事实判断或决策权转交给系统；明确译员、AI和其他专业人员各自角色，必要时公开角色转换。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工作流明确AI只能承担辅助或自动化的限定任务；系统不得伪装成人类专业人员或越过授权作决定。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必须区分AI辅助、AI生成、自动口译、人工监控和人工接管，避免角色名称掩盖责任差异。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译员可为澄清、可及性或安全作必要程序性干预，但不得代替当事人或其他专业人员作实质决定。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统一框架应清楚划分译员、AI系统、机构及其他专业人员的权限；系统不得越权作决定，译员不得把不可转让的专业判断外包给AI。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20. 公平报酬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差异—AI劳动正义突出。报酬从单笔合同问题扩展为技术转型中的劳动价值、平台权力与收益分配。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职业权利／AI劳动治理扩展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不因AI提高效率而接受或推动不合理压价；如实说明人工准备、监测、纠错和责任承担所需劳动。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采购和定价不得把技术节省全部转化为压价；合同应承认人工准备、监督、纠错、风险和责任成本。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AI口译可能以“技术替代”压低口译费，却把监控、纠错和责任转嫁给人工。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降低成本可以是正当目标，但不得通过隐瞒人工劳动、风险和责任来压低报酬或转嫁成本。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技术应用不得损害译员获得合理报酬、署名和劳动尊严；采购与定价应计入人工准备、监督、纠错和责任成本。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21. 人机协作规范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差异—AI治理新增。伦理分析单位从单一译员转向人机工作流和分布式多主体系统。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B 统一框架核心桥接原则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持续监督系统，保留最终专业决定和人工接管权；不得以“系统建议”为由逃避判断责任。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设计有意义的人类控制：可预览、可拒绝、可覆盖、可暂停、可接管；机构明确各主体在各阶段的决定权。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同步互动留给审核和后编辑的时间极短，因此必须提供即时暂停、接管、重述和人工替代机制。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自动化效率与有意义的人类控制冲突时，高风险场景优先控制、可逆性和人工责任。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所有人机协作口译流程均应保留有意义的人类控制，包括知情选择、持续监督、覆盖输出、暂停服务、人工接管和最终责任。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22. 算法公平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差异—AI治理新增。公平由个体态度转为可测量的群体差异、数据代表性与设计选择。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 AI治理新增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识别对特定语言、口音、文化或群体的不公平表现；发现偏差时纠正、报告并选择替代方案。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按语言、口音、性别、残障和其他相关群体评估偏差；公开局限，持续监测并提供修正和申诉机制。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自动口译可能对口音、性别、残障、方言和低资源语言产生不均等错误率。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不同公平指标可能冲突；须说明选择依据，优先防止严重伤害和对弱势语言群体的系统性排除。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系统应持续评估和缓解不同语言、口音、文化和群体间的差异性风险；重大偏差应披露、纠正并提供替代和申诉。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23. 可解释性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缺口—共同薄弱。可解释性尚未在翻译/口译伦理中制度化，透明度可能承担了过多不同功能。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 AI治理新增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能够向用户说明关键限制、为何不采纳系统建议及人工介入原因；不把不可理解的输出当作权威。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提供适合用户、专业审核者和监管者的解释，包括输入来源、关键限制、风险和人工介入点；保留审计材料。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终端用户未必需要模型技术细节，但专业审核者需要错误原因、置信信息和版本变更可追溯。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解释义务应与受众和风险相称；商业秘密不能成为拒绝说明关键局限、风险和责任依据的借口。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系统的能力、限制、风险与关键决策依据应以受众可理解的方式说明，使用户、译员、机构和监管者能够质疑、审核和纠错。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24. 知情同意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差异—AI治理补强。同意对象从特殊口译方式扩展为技术参与、数据处理、风险承担和服务模式选择。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A+B 自主权桥接原则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在使用AI前确保当事人获得充分、可理解的信息，并在可行时提供拒绝、人工替代或选择不同模式的机会。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建立标准化告知与同意流程，记录同意状态并提供可行替代；不得以捆绑条款强迫接受非必要AI处理。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医疗、司法、教育等场景存在权力不对称；同意必须可理解、可拒绝且不能因拒绝而失去必要语言服务。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紧急救治、法定程序或无法表达意愿时，可能无法获得完整事前同意，但仍应尽早告知、记录依据并提供最小侵入方案。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在可行情况下，服务对象应在充分知情基础上自愿选择或拒绝AI参与，并获得不受不当惩罚的人工或其他可行替代。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25. 译者著作权利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差异—创作者权利突出。作者权议题从译作出版扩展到数据化采集和模型训练；口译中对应的权利尚未充分命名。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2F0D9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职业权利／AI利用扩展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维护译员的署名、修改和经济权益；未经约定不得允许译作或个人表现数据被再次训练、复制或商业利用。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合同和平台规则明确署名、修改、再利用、训练和收益分配；未经许可不得把译员产出或声音用于模型开发。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需要讨论口译录音、转写、语音克隆、术语成果和示范语料是否可被训练或商业化。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委托合同可约定经济权利，但不得默认取得未说明的训练、声音克隆或无限再利用权；不同法域需明确适用规则。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译员对其专业产出、署名、修改和合理收益的权利应受到保护；任何用于训练、声音克隆或再商业化的利用须另行明确授权。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26. 尊重当事人/自主权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缺口—基础价值显性不足。自主既是关系伦理价值，也是知情同意、可及性、数据控制和人工替代的正当化基础。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 人类不可转让伦理核心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把当事人的实际需求、尊严、表达方式和自主选择置于技术便利之前；避免系统替代当事人发声或决定。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系统设计不得削弱当事人的表达权、选择权和对人工服务的合理获得；机构应保留申诉与人工复核。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语言服务对象常无法独立判断输出质量，自主不能仅靠“提供选择”，还需要可理解信息和有效替代。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自主可因迫近重大伤害或法定义务受到限制，但须采取最少限制方案并说明理由。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人机协作的设计与实施应以当事人的尊严、表达权、自主选择和实际沟通需要为优先，不得以技术便利取代人的能动性。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27. 语言可及性/无障碍保障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差异—AI治理与口译核心交汇。可及性从提供口译服务扩展为技术设计、语言覆盖、性能平等和退出后的服务连续性。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DEB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C+R 正义核心／技术可及性扩展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主动消除听觉、视觉、语言、数字与技术障碍；根据当事人偏好调整沟通方式而不降低准确和尊严。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符合无障碍标准，支持多种沟通方式、字幕/手语/辅助设备和低数字能力用户；不得让技术成为新门槛。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可及性是口译的存在理由之一，不能因部署AI反而把弱势用户置于质量更低的服务层级。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资源限制可影响实现方式，但不能成为长期排除某类用户或提供显著低质服务的理由。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人机口译应提供实质而非形式上的沟通可及性，避免因残障、语言、设备、数字素养或技术设计造成新的排除。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28. 跨专业协作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缺口—共同薄弱。AI治理需要跨越语言、工程、法律、采购、数据保护和场景专业，但规范文件仍呈部门分割。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C+B 专业协作／治理桥接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与医护、司法、教育、技术和管理人员协同评估风险、制定备援和处理事件，同时坚持专业边界与保密。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机构建立跨专业治理团队、事件通报和联合决策流程；技术人员须向口译专业人员提供可理解的风险信息。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高风险口译的系统评估不可能由单一主体完成，必须引入场景专家和受影响社群。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团队协作不得模糊专业责任或造成过度信息共享；遵循最小必要、明确角色和独立判断。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高风险人机口译应由口译、技术、法律和领域专业人员协同治理；协作须同时满足角色清晰、最小信息共享和责任可追溯。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/>
                <w:sz w:val="13"/>
              </w:rPr>
              <w:t>29. 问责制/责任归属</w:t>
            </w:r>
          </w:p>
        </w:tc>
        <w:tc>
          <w:tcPr>
            <w:tcW w:type="dxa" w:w="26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差异—AI口译责任升级。责任由单一专业人员转为分布式责任；技术设备不是道德或法律责任终点。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E4DFE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A+B 分布式责任核心</w:t>
            </w:r>
          </w:p>
        </w:tc>
        <w:tc>
          <w:tcPr>
            <w:tcW w:type="dxa" w:w="309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记录关键决策、人工干预和已知限制；发生损害时说明自身判断，参与纠正、救济和系统改进，不接受无条件免责。</w:t>
            </w:r>
          </w:p>
        </w:tc>
        <w:tc>
          <w:tcPr>
            <w:tcW w:type="dxa" w:w="33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建立覆盖开发者、供应商、采购方、服务机构与译员的责任链、审计日志、事件报告、救济和整改机制；禁止单方面免责。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口译错误会即时改变互动与程序结果，责任认定必须结合系统设计、机构选择、现场监督和可干预时间。</w:t>
            </w:r>
          </w:p>
        </w:tc>
        <w:tc>
          <w:tcPr>
            <w:tcW w:type="dxa" w:w="28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损害常由多主体共同造成；不得把全部责任自动推给现场译员，也不得因系统复杂而形成责任真空。</w:t>
            </w:r>
          </w:p>
        </w:tc>
        <w:tc>
          <w:tcPr>
            <w:tcW w:type="dxa" w:w="446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3"/>
              </w:rPr>
              <w:t>应建立贯穿开发、供应、采购、部署和现场服务的分布式责任链，确保决策可追溯、损害可救济、事故可学习且不存在责任真空。</w:t>
            </w:r>
          </w:p>
        </w:tc>
      </w:tr>
    </w:tbl>
    <w:p>
      <w:pPr>
        <w:spacing w:before="0" w:after="80" w:line="259" w:lineRule="auto"/>
      </w:pPr>
      <w:r>
        <w:rPr>
          <w:rFonts w:ascii="Arial" w:hAnsi="Arial" w:eastAsia="Noto Sans CJK SC" w:cs="Arial"/>
          <w:b/>
          <w:color w:val="1F4E79"/>
          <w:sz w:val="30"/>
        </w:rPr>
        <w:t>附表：10份AI/MT立场文件如何进入统一框架</w:t>
      </w:r>
    </w:p>
    <w:p>
      <w:pPr>
        <w:spacing w:before="0" w:after="100" w:line="259" w:lineRule="auto"/>
      </w:pPr>
      <w:r>
        <w:rPr>
          <w:rFonts w:ascii="Arial" w:hAnsi="Arial" w:eastAsia="Noto Sans CJK SC" w:cs="Arial"/>
          <w:b w:val="0"/>
          <w:sz w:val="18"/>
        </w:rPr>
        <w:t>这些文件不被视为与正式职业守则、ISO/TAC标准具有完全相同的规范效力。本文借鉴的是其提出的新兴关切、风险语言和治理建议，并通过口译情境化、与正式条款对照及冲突检验后，才写入统一框架。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56"/>
        <w:gridCol w:w="4556"/>
        <w:gridCol w:w="4556"/>
        <w:gridCol w:w="4556"/>
        <w:gridCol w:w="4556"/>
      </w:tblGrid>
      <w:tr>
        <w:trPr>
          <w:tblHeader w:val="true"/>
        </w:trP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立场文件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可借鉴的规范创新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1F4E7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进入统一框架的主要位置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A01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CEATL《Statement on Artificial Intelligence》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作者权、许可与合理报酬；反对未经授权训练；强调语言文化生态与人类创作主体性。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知识产权、译者权利、公平报酬、社会责任、人机协作。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A02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ITI《Slow Translation Manifesto》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以质量、语境、审慎和人的节奏抵抗单纯效率逻辑；强调人类判断与有意义协作。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准确、质量保证、文化语境、人机协作、技术比例性。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A03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FIT《人工智能在口译中应用的立场文件》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HAI-I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明确口译中的人类主导、局限认知、高风险审慎、保密、拒绝不安全用途与最终责任。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胜任、准确、保密、角色界限、人机控制、拒绝有害工作、问责。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A04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FIT《人工智能时代的机器翻译立场文件》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MT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强调人类译者地位、透明、知识产权、数据风险、偏差、专业发展与跨主体协作。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透明、数据/IP、算法公平、CPD、社会与职业影响。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A05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AVTE《Statement on Generative AI》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突出视听翻译中的创造性劳动、语境质量、版权、公平报酬、偏差与跨专业治理。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准确、文化能力、知识产权、劳动权利、算法公平、协作。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A06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AVTE《Machine Translation Manifesto》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MT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反对把机器输出等同专业译作；强调人类专业判断、质量、文化语境、知情与公平劳动条件。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胜任、准确、质量、人机协作、知情同意、公平报酬、著作权。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A07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SFT《Prise de position sur l’intelligence artificielle》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TI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将AI风险置于职业身份、保密、透明、培训、报酬、社会与环境责任背景中。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诚信、保密、CPD、透明、公平报酬、社会责任。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A08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CIOL《AI Voices 2025》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TI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强调AI素养、批判性使用、隐私、偏差、透明、包容和多方参与，呈现多元观点而非单一规则。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胜任、透明、数据保护、算法公平、可及性、跨专业协作。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A09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Interpreting SAFE-AI Task Force Guidance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HAI-I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采用风险导向的口译AI治理；强调知情同意、数据保护、偏差、质量、可及性、问责及高风险限制。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风险分级、同意、数据、算法公平、质量、可及性、问责。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/>
                <w:sz w:val="15"/>
              </w:rPr>
              <w:t>A10</w:t>
            </w:r>
          </w:p>
        </w:tc>
        <w:tc>
          <w:tcPr>
            <w:tcW w:type="dxa" w:w="45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AUSIT《Position Statement on AI in Translation &amp; Interpreting》</w:t>
            </w:r>
          </w:p>
        </w:tc>
        <w:tc>
          <w:tcPr>
            <w:tcW w:type="dxa" w:w="100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TI</w:t>
            </w:r>
          </w:p>
        </w:tc>
        <w:tc>
          <w:tcPr>
            <w:tcW w:type="dxa" w:w="734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把准确、保密、披露、人工监督、合理报酬、可及性和问责纳入翻译口译AI治理。</w:t>
            </w:r>
          </w:p>
        </w:tc>
        <w:tc>
          <w:tcPr>
            <w:tcW w:type="dxa" w:w="784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共享伦理核心、透明、人类监督、劳动权利、可及性、问责。</w:t>
            </w:r>
          </w:p>
        </w:tc>
      </w:tr>
    </w:tbl>
    <w:p>
      <w:pPr>
        <w:spacing w:before="140" w:after="60" w:line="259" w:lineRule="auto"/>
      </w:pPr>
      <w:r>
        <w:rPr>
          <w:rFonts w:ascii="Arial" w:hAnsi="Arial" w:eastAsia="Noto Sans CJK SC" w:cs="Arial"/>
          <w:b/>
          <w:color w:val="1F4E79"/>
          <w:sz w:val="26"/>
        </w:rPr>
        <w:t>三、立场文件借鉴的操作规则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8"/>
        </w:rPr>
        <w:t>不以出现频率直接证明价值正确：立场文件只能提出规范候选和治理缺口，不能单独完成伦理正当化。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8"/>
        </w:rPr>
        <w:t>不把笔译/MT要求直接等同口译要求：每项建议须通过实时性、互动性、错误难以撤回、非语言信息和高风险后果的口译适用性检验。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8"/>
        </w:rPr>
        <w:t>不覆盖传统职业伦理：AI治理要求用于扩展保密、胜任、准确、公平等既有原则，而非以技术指标取代职业判断。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8"/>
        </w:rPr>
        <w:t>区分责任主体：将“系统应当……”重新表述为开发者、供应商、机构、采购方和译员分别应承担的可操作责任。</w:t>
      </w:r>
    </w:p>
    <w:p>
      <w:pPr>
        <w:pStyle w:val="ListBullet"/>
        <w:spacing w:after="20" w:line="252" w:lineRule="auto"/>
      </w:pPr>
      <w:r>
        <w:rPr>
          <w:rFonts w:ascii="Arial" w:hAnsi="Arial" w:eastAsia="Noto Sans CJK SC" w:cs="Arial"/>
          <w:sz w:val="18"/>
        </w:rPr>
        <w:t>形成证据链：最终规范条款应能够反向追溯至职业守则、AI立场文件/标准、四类语料比较结果及口译场景反例。</w:t>
      </w:r>
    </w:p>
    <w:p>
      <w:pPr>
        <w:spacing w:before="100" w:after="40" w:line="259" w:lineRule="auto"/>
      </w:pPr>
      <w:r>
        <w:rPr>
          <w:rFonts w:ascii="Arial" w:hAnsi="Arial" w:eastAsia="Noto Sans CJK SC" w:cs="Arial"/>
          <w:b/>
          <w:color w:val="1F4E79"/>
          <w:sz w:val="24"/>
        </w:rPr>
        <w:t>使用说明</w:t>
      </w:r>
    </w:p>
    <w:p>
      <w:pPr>
        <w:spacing w:before="0" w:after="60" w:line="259" w:lineRule="auto"/>
      </w:pPr>
      <w:r>
        <w:rPr>
          <w:rFonts w:ascii="Arial" w:hAnsi="Arial" w:eastAsia="Noto Sans CJK SC" w:cs="Arial"/>
          <w:b w:val="0"/>
          <w:sz w:val="18"/>
        </w:rPr>
        <w:t>本表为理论建构工作稿。下一轮应逐项回到原始条款，补充“直接证据文件/条款编号”，并选取医疗、司法、会议/远程三类口译场景进行冲突检验。通过反向核验后，可把“最终框架表述”改写为论文中的原则与子规则。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547" w:right="518" w:bottom="547" w:left="51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 w:cs="Arial"/>
        <w:color w:val="5A5A5A"/>
        <w:sz w:val="15"/>
      </w:rPr>
      <w:t>人机协作口译统一伦理框架｜工作矩阵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人机协作口译统一伦理框架：设计命题与29维映射表</dc:title>
  <dc:subject>口译伦理、AI治理、29维伦理映射、Position papers</dc:subject>
  <dc:creator>Research working document</dc:creator>
  <cp:keywords>interpreting ethics; human-AI collaboration; professional codes; AI governance; position papers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