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2" w:lineRule="auto"/>
        <w:jc w:val="center"/>
      </w:pPr>
      <w:r>
        <w:rPr>
          <w:rFonts w:ascii="Arial" w:hAnsi="Arial" w:eastAsia="Noto Sans CJK SC" w:cs="Arial"/>
          <w:b/>
          <w:color w:val="1F4E79"/>
          <w:sz w:val="40"/>
        </w:rPr>
        <w:t>人机协作口译统一伦理框架：证据链与场景验证矩阵</w:t>
      </w:r>
    </w:p>
    <w:p>
      <w:pPr>
        <w:spacing w:before="0" w:after="140" w:line="252" w:lineRule="auto"/>
        <w:jc w:val="center"/>
      </w:pPr>
      <w:r>
        <w:rPr>
          <w:rFonts w:ascii="Arial" w:hAnsi="Arial" w:eastAsia="Noto Sans CJK SC" w:cs="Arial"/>
          <w:b w:val="0"/>
          <w:color w:val="505050"/>
          <w:sz w:val="21"/>
        </w:rPr>
        <w:t>Evidence Chain and Scenario Validation Matrix for Human–AI Collaborative Interpreting Ethics</w:t>
      </w:r>
    </w:p>
    <w:p>
      <w:pPr>
        <w:spacing w:before="0" w:after="60" w:line="252" w:lineRule="auto"/>
      </w:pPr>
      <w:r>
        <w:rPr>
          <w:rFonts w:ascii="Arial" w:hAnsi="Arial" w:eastAsia="Noto Sans CJK SC" w:cs="Arial"/>
          <w:b/>
          <w:color w:val="1F4E79"/>
          <w:sz w:val="26"/>
        </w:rPr>
        <w:t>研究目的</w:t>
      </w:r>
    </w:p>
    <w:p>
      <w:pPr>
        <w:spacing w:before="0" w:after="80" w:line="252" w:lineRule="auto"/>
      </w:pPr>
      <w:r>
        <w:rPr>
          <w:rFonts w:ascii="Arial" w:hAnsi="Arial" w:eastAsia="Noto Sans CJK SC" w:cs="Arial"/>
          <w:b w:val="0"/>
          <w:sz w:val="19"/>
        </w:rPr>
        <w:t>本文件把29维统一框架逐项连接到职业伦理守则、10份AI/MT立场文件、TAC/ISO技术标准及四类口译压力场景。它用于检验每条最终规范是否具有可追溯证据、是否经过口译情境化，以及哪些内容仍属于研究者的规范性重构。</w:t>
      </w:r>
    </w:p>
    <w:p>
      <w:pPr>
        <w:spacing w:before="40" w:after="40" w:line="252" w:lineRule="auto"/>
      </w:pPr>
      <w:r>
        <w:rPr>
          <w:rFonts w:ascii="Arial" w:hAnsi="Arial" w:eastAsia="Noto Sans CJK SC" w:cs="Arial"/>
          <w:b/>
          <w:color w:val="1F4E79"/>
          <w:sz w:val="26"/>
        </w:rPr>
        <w:t>证据链逻辑</w:t>
      </w:r>
    </w:p>
    <w:p>
      <w:pPr>
        <w:pStyle w:val="ListBullet"/>
        <w:spacing w:after="20" w:line="250" w:lineRule="auto"/>
      </w:pPr>
      <w:r>
        <w:rPr>
          <w:rFonts w:ascii="Arial" w:hAnsi="Arial" w:eastAsia="Noto Sans CJK SC" w:cs="Arial"/>
          <w:sz w:val="17"/>
        </w:rPr>
        <w:t>职业守则：确立译员的传统专业义务、服务关系与角色边界。</w:t>
      </w:r>
    </w:p>
    <w:p>
      <w:pPr>
        <w:pStyle w:val="ListBullet"/>
        <w:spacing w:after="20" w:line="250" w:lineRule="auto"/>
      </w:pPr>
      <w:r>
        <w:rPr>
          <w:rFonts w:ascii="Arial" w:hAnsi="Arial" w:eastAsia="Noto Sans CJK SC" w:cs="Arial"/>
          <w:sz w:val="17"/>
        </w:rPr>
        <w:t>AI/MT立场文件：识别新兴风险、行业诉求和治理原则，但其规范效力低于正式守则或标准。</w:t>
      </w:r>
    </w:p>
    <w:p>
      <w:pPr>
        <w:pStyle w:val="ListBullet"/>
        <w:spacing w:after="20" w:line="250" w:lineRule="auto"/>
      </w:pPr>
      <w:r>
        <w:rPr>
          <w:rFonts w:ascii="Arial" w:hAnsi="Arial" w:eastAsia="Noto Sans CJK SC" w:cs="Arial"/>
          <w:sz w:val="17"/>
        </w:rPr>
        <w:t>TAC/ISO：提供数据、算法、流程、质量和责任方面的制度化技术要求，但主要产生于机器翻译/译后编辑背景。</w:t>
      </w:r>
    </w:p>
    <w:p>
      <w:pPr>
        <w:pStyle w:val="ListBullet"/>
        <w:spacing w:after="20" w:line="250" w:lineRule="auto"/>
      </w:pPr>
      <w:r>
        <w:rPr>
          <w:rFonts w:ascii="Arial" w:hAnsi="Arial" w:eastAsia="Noto Sans CJK SC" w:cs="Arial"/>
          <w:sz w:val="17"/>
        </w:rPr>
        <w:t>口译情境化：以实时性、互动性、错误难撤回、非语言信息及高风险后果检验原则能否迁移。</w:t>
      </w:r>
    </w:p>
    <w:p>
      <w:pPr>
        <w:pStyle w:val="ListBullet"/>
        <w:spacing w:after="20" w:line="250" w:lineRule="auto"/>
      </w:pPr>
      <w:r>
        <w:rPr>
          <w:rFonts w:ascii="Arial" w:hAnsi="Arial" w:eastAsia="Noto Sans CJK SC" w:cs="Arial"/>
          <w:sz w:val="17"/>
        </w:rPr>
        <w:t>最终条款：仅在证据可追溯、责任主体明确且通过场景压力测试后进入统一框架。</w:t>
      </w:r>
    </w:p>
    <w:p>
      <w:pPr>
        <w:spacing w:before="60" w:after="40" w:line="252" w:lineRule="auto"/>
      </w:pPr>
      <w:r>
        <w:rPr>
          <w:rFonts w:ascii="Arial" w:hAnsi="Arial" w:eastAsia="Noto Sans CJK SC" w:cs="Arial"/>
          <w:b/>
          <w:color w:val="1F4E79"/>
          <w:sz w:val="26"/>
        </w:rPr>
        <w:t>证据等级</w:t>
      </w:r>
    </w:p>
    <w:tbl>
      <w:tblPr>
        <w:tblStyle w:val="TableGrid"/>
        <w:tblW w:type="auto" w:w="0"/>
        <w:jc w:val="left"/>
        <w:tblLook w:firstColumn="1" w:firstRow="1" w:lastColumn="0" w:lastRow="0" w:noHBand="0" w:noVBand="1" w:val="04A0"/>
      </w:tblPr>
      <w:tblGrid>
        <w:gridCol w:w="11419"/>
        <w:gridCol w:w="11419"/>
      </w:tblGrid>
      <w:tr>
        <w:trPr>
          <w:tblHeader w:val="true"/>
        </w:trPr>
        <w:tc>
          <w:tcPr>
            <w:tcW w:type="dxa" w:w="1872"/>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6"/>
              </w:rPr>
              <w:t>等级</w:t>
            </w:r>
          </w:p>
        </w:tc>
        <w:tc>
          <w:tcPr>
            <w:tcW w:type="dxa" w:w="1958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6"/>
              </w:rPr>
              <w:t>含义</w:t>
            </w:r>
          </w:p>
        </w:tc>
      </w:tr>
      <w:tr>
        <w:tc>
          <w:tcPr>
            <w:tcW w:type="dxa" w:w="11419"/>
            <w:vAlign w:val="center"/>
            <w:tcMar>
              <w:top w:w="45" w:type="dxa"/>
              <w:start w:w="55" w:type="dxa"/>
              <w:bottom w:w="45" w:type="dxa"/>
              <w:end w:w="55" w:type="dxa"/>
            </w:tcMar>
          </w:tcPr>
          <w:p>
            <w:pPr>
              <w:spacing w:before="0" w:after="0" w:line="240" w:lineRule="auto"/>
              <w:jc w:val="center"/>
            </w:pPr>
            <w:r/>
            <w:r>
              <w:rPr>
                <w:rFonts w:ascii="Arial" w:hAnsi="Arial" w:eastAsia="Noto Sans CJK SC" w:cs="Arial"/>
                <w:b/>
                <w:sz w:val="16"/>
              </w:rPr>
              <w:t>A1</w:t>
            </w:r>
          </w:p>
        </w:tc>
        <w:tc>
          <w:tcPr>
            <w:tcW w:type="dxa" w:w="11419"/>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6"/>
              </w:rPr>
              <w:t>职业守则、AI立场文件与TAC/ISO均有直接主归属证据。</w:t>
            </w:r>
          </w:p>
        </w:tc>
      </w:tr>
      <w:tr>
        <w:tc>
          <w:tcPr>
            <w:tcW w:type="dxa" w:w="11419"/>
            <w:vAlign w:val="center"/>
            <w:tcMar>
              <w:top w:w="45" w:type="dxa"/>
              <w:start w:w="55" w:type="dxa"/>
              <w:bottom w:w="45" w:type="dxa"/>
              <w:end w:w="55" w:type="dxa"/>
            </w:tcMar>
            <w:shd w:fill="F7F9FB"/>
          </w:tcPr>
          <w:p>
            <w:pPr>
              <w:spacing w:before="0" w:after="0" w:line="240" w:lineRule="auto"/>
              <w:jc w:val="center"/>
            </w:pPr>
            <w:r/>
            <w:r>
              <w:rPr>
                <w:rFonts w:ascii="Arial" w:hAnsi="Arial" w:eastAsia="Noto Sans CJK SC" w:cs="Arial"/>
                <w:b/>
                <w:sz w:val="16"/>
              </w:rPr>
              <w:t>A2</w:t>
            </w:r>
          </w:p>
        </w:tc>
        <w:tc>
          <w:tcPr>
            <w:tcW w:type="dxa" w:w="11419"/>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6"/>
              </w:rPr>
              <w:t>职业守则与AI立场文件有直接证据；技术标准仅邻接或未直接规定。</w:t>
            </w:r>
          </w:p>
        </w:tc>
      </w:tr>
      <w:tr>
        <w:tc>
          <w:tcPr>
            <w:tcW w:type="dxa" w:w="11419"/>
            <w:vAlign w:val="center"/>
            <w:tcMar>
              <w:top w:w="45" w:type="dxa"/>
              <w:start w:w="55" w:type="dxa"/>
              <w:bottom w:w="45" w:type="dxa"/>
              <w:end w:w="55" w:type="dxa"/>
            </w:tcMar>
          </w:tcPr>
          <w:p>
            <w:pPr>
              <w:spacing w:before="0" w:after="0" w:line="240" w:lineRule="auto"/>
              <w:jc w:val="center"/>
            </w:pPr>
            <w:r/>
            <w:r>
              <w:rPr>
                <w:rFonts w:ascii="Arial" w:hAnsi="Arial" w:eastAsia="Noto Sans CJK SC" w:cs="Arial"/>
                <w:b/>
                <w:sz w:val="16"/>
              </w:rPr>
              <w:t>B1</w:t>
            </w:r>
          </w:p>
        </w:tc>
        <w:tc>
          <w:tcPr>
            <w:tcW w:type="dxa" w:w="11419"/>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6"/>
              </w:rPr>
              <w:t>职业守则与正式技术标准有直接证据；AI立场文件直接表达不足。</w:t>
            </w:r>
          </w:p>
        </w:tc>
      </w:tr>
      <w:tr>
        <w:tc>
          <w:tcPr>
            <w:tcW w:type="dxa" w:w="11419"/>
            <w:vAlign w:val="center"/>
            <w:tcMar>
              <w:top w:w="45" w:type="dxa"/>
              <w:start w:w="55" w:type="dxa"/>
              <w:bottom w:w="45" w:type="dxa"/>
              <w:end w:w="55" w:type="dxa"/>
            </w:tcMar>
            <w:shd w:fill="F7F9FB"/>
          </w:tcPr>
          <w:p>
            <w:pPr>
              <w:spacing w:before="0" w:after="0" w:line="240" w:lineRule="auto"/>
              <w:jc w:val="center"/>
            </w:pPr>
            <w:r/>
            <w:r>
              <w:rPr>
                <w:rFonts w:ascii="Arial" w:hAnsi="Arial" w:eastAsia="Noto Sans CJK SC" w:cs="Arial"/>
                <w:b/>
                <w:sz w:val="16"/>
              </w:rPr>
              <w:t>B2</w:t>
            </w:r>
          </w:p>
        </w:tc>
        <w:tc>
          <w:tcPr>
            <w:tcW w:type="dxa" w:w="11419"/>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6"/>
              </w:rPr>
              <w:t>主要由AI立场文件或技术标准新增；职业守则只有邻接价值或完全缺失。</w:t>
            </w:r>
          </w:p>
        </w:tc>
      </w:tr>
      <w:tr>
        <w:tc>
          <w:tcPr>
            <w:tcW w:type="dxa" w:w="11419"/>
            <w:vAlign w:val="center"/>
            <w:tcMar>
              <w:top w:w="45" w:type="dxa"/>
              <w:start w:w="55" w:type="dxa"/>
              <w:bottom w:w="45" w:type="dxa"/>
              <w:end w:w="55" w:type="dxa"/>
            </w:tcMar>
          </w:tcPr>
          <w:p>
            <w:pPr>
              <w:spacing w:before="0" w:after="0" w:line="240" w:lineRule="auto"/>
              <w:jc w:val="center"/>
            </w:pPr>
            <w:r/>
            <w:r>
              <w:rPr>
                <w:rFonts w:ascii="Arial" w:hAnsi="Arial" w:eastAsia="Noto Sans CJK SC" w:cs="Arial"/>
                <w:b/>
                <w:sz w:val="16"/>
              </w:rPr>
              <w:t>C1</w:t>
            </w:r>
          </w:p>
        </w:tc>
        <w:tc>
          <w:tcPr>
            <w:tcW w:type="dxa" w:w="11419"/>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6"/>
              </w:rPr>
              <w:t>主要是传统职业义务；技术治理侧证据较薄。</w:t>
            </w:r>
          </w:p>
        </w:tc>
      </w:tr>
      <w:tr>
        <w:tc>
          <w:tcPr>
            <w:tcW w:type="dxa" w:w="11419"/>
            <w:vAlign w:val="center"/>
            <w:tcMar>
              <w:top w:w="45" w:type="dxa"/>
              <w:start w:w="55" w:type="dxa"/>
              <w:bottom w:w="45" w:type="dxa"/>
              <w:end w:w="55" w:type="dxa"/>
            </w:tcMar>
            <w:shd w:fill="F7F9FB"/>
          </w:tcPr>
          <w:p>
            <w:pPr>
              <w:spacing w:before="0" w:after="0" w:line="240" w:lineRule="auto"/>
              <w:jc w:val="center"/>
            </w:pPr>
            <w:r/>
            <w:r>
              <w:rPr>
                <w:rFonts w:ascii="Arial" w:hAnsi="Arial" w:eastAsia="Noto Sans CJK SC" w:cs="Arial"/>
                <w:b/>
                <w:sz w:val="16"/>
              </w:rPr>
              <w:t>C2</w:t>
            </w:r>
          </w:p>
        </w:tc>
        <w:tc>
          <w:tcPr>
            <w:tcW w:type="dxa" w:w="11419"/>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6"/>
              </w:rPr>
              <w:t>直接证据有限，属于待论证的规范性建议或共同缺口。</w:t>
            </w:r>
          </w:p>
        </w:tc>
      </w:tr>
    </w:tbl>
    <w:p>
      <w:r>
        <w:br w:type="page"/>
      </w:r>
    </w:p>
    <w:p>
      <w:pPr>
        <w:spacing w:before="0" w:after="60" w:line="252" w:lineRule="auto"/>
      </w:pPr>
      <w:r>
        <w:rPr>
          <w:rFonts w:ascii="Arial" w:hAnsi="Arial" w:eastAsia="Noto Sans CJK SC" w:cs="Arial"/>
          <w:b/>
          <w:color w:val="1F4E79"/>
          <w:sz w:val="30"/>
        </w:rPr>
        <w:t>一、29维统一框架证据链矩阵</w:t>
      </w:r>
    </w:p>
    <w:p>
      <w:pPr>
        <w:spacing w:before="0" w:after="100" w:line="252" w:lineRule="auto"/>
      </w:pPr>
      <w:r>
        <w:rPr>
          <w:rFonts w:ascii="Arial" w:hAnsi="Arial" w:eastAsia="Noto Sans CJK SC" w:cs="Arial"/>
          <w:b w:val="0"/>
          <w:color w:val="505050"/>
          <w:sz w:val="17"/>
        </w:rPr>
        <w:t>证据单元以“文件编号—条款/段落—页码—简要内容”呈现。主归属证据优先；若只有相邻维度支持，则明确标注“邻接”。表中概述均为压缩转述，正式论文写作时应再次核对原文。</w:t>
      </w:r>
    </w:p>
    <w:p>
      <w:pPr>
        <w:spacing w:before="80" w:after="60" w:line="252" w:lineRule="auto"/>
      </w:pPr>
      <w:r>
        <w:rPr>
          <w:rFonts w:ascii="Arial" w:hAnsi="Arial" w:eastAsia="Noto Sans CJK SC" w:cs="Arial"/>
          <w:b/>
          <w:color w:val="1F4E79"/>
          <w:sz w:val="25"/>
        </w:rPr>
        <w:t>人格、信息与自主权保护</w:t>
      </w:r>
    </w:p>
    <w:tbl>
      <w:tblPr>
        <w:tblStyle w:val="TableGrid"/>
        <w:tblW w:type="auto" w:w="0"/>
        <w:jc w:val="center"/>
        <w:tblLayout w:type="fixed"/>
        <w:tblLook w:firstColumn="1" w:firstRow="1" w:lastColumn="0" w:lastRow="0" w:noHBand="0" w:noVBand="1" w:val="04A0"/>
      </w:tblPr>
      <w:tblGrid>
        <w:gridCol w:w="3806"/>
        <w:gridCol w:w="3806"/>
        <w:gridCol w:w="3806"/>
        <w:gridCol w:w="3806"/>
        <w:gridCol w:w="3806"/>
        <w:gridCol w:w="3806"/>
      </w:tblGrid>
      <w:tr>
        <w:trPr>
          <w:tblHeader w:val="true"/>
        </w:trPr>
        <w:tc>
          <w:tcPr>
            <w:tcW w:type="dxa" w:w="482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维度与最终框架条款</w:t>
            </w:r>
          </w:p>
        </w:tc>
        <w:tc>
          <w:tcPr>
            <w:tcW w:type="dxa" w:w="3960"/>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职业守则证据（P）</w:t>
            </w:r>
          </w:p>
        </w:tc>
        <w:tc>
          <w:tcPr>
            <w:tcW w:type="dxa" w:w="4176"/>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AI/MT立场文件证据（A01–A10）</w:t>
            </w:r>
          </w:p>
        </w:tc>
        <w:tc>
          <w:tcPr>
            <w:tcW w:type="dxa" w:w="3671"/>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正式MT/技术标准证据</w:t>
            </w:r>
          </w:p>
        </w:tc>
        <w:tc>
          <w:tcPr>
            <w:tcW w:type="dxa" w:w="1800"/>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证据等级</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剩余缺口与论文处理</w:t>
            </w:r>
          </w:p>
        </w:tc>
      </w:tr>
      <w:tr>
        <w:trPr>
          <w:cantSplit w:val="false"/>
        </w:trPr>
        <w:tc>
          <w:tcPr>
            <w:tcW w:type="dxa" w:w="4824"/>
            <w:vAlign w:val="center"/>
            <w:tcMar>
              <w:top w:w="45" w:type="dxa"/>
              <w:start w:w="55" w:type="dxa"/>
              <w:bottom w:w="45" w:type="dxa"/>
              <w:end w:w="55" w:type="dxa"/>
            </w:tcMar>
            <w:shd w:fill="E2F0D9"/>
          </w:tcPr>
          <w:p>
            <w:pPr>
              <w:spacing w:before="0" w:after="0" w:line="240" w:lineRule="auto"/>
              <w:jc w:val="left"/>
            </w:pPr>
            <w:r/>
            <w:r>
              <w:rPr>
                <w:rFonts w:ascii="Arial" w:hAnsi="Arial" w:eastAsia="Noto Sans CJK SC" w:cs="Arial"/>
                <w:b/>
                <w:sz w:val="13"/>
              </w:rPr>
              <w:t>1. 保密性</w:t>
            </w:r>
            <w:r>
              <w:br/>
            </w:r>
            <w:r>
              <w:rPr>
                <w:rFonts w:ascii="Arial" w:hAnsi="Arial" w:eastAsia="Noto Sans CJK SC" w:cs="Arial"/>
                <w:b/>
                <w:sz w:val="13"/>
              </w:rPr>
              <w:t>【最终条款】所有参与人机口译的主体均应保护履职信息；服务机构须实施数据最小化、安全平台、受控录制与留存，并建立泄露通知和追责机制。</w:t>
            </w:r>
          </w:p>
        </w:tc>
        <w:tc>
          <w:tcPr>
            <w:tcW w:type="dxa" w:w="3960"/>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E03 AIIC《Code》2022，Art.2 Confidentiality（p.2）：第2条：保密——协会会员须受最严格的保密约束，此项保密义务须针对所有人士，并适用于在任何非公开场合执业过程中所获知的一切信息。</w:t>
            </w:r>
            <w:r>
              <w:br/>
            </w:r>
            <w:r>
              <w:rPr>
                <w:rFonts w:ascii="Arial" w:hAnsi="Arial" w:eastAsia="Noto Sans CJK SC" w:cs="Arial"/>
                <w:b w:val="0"/>
                <w:sz w:val="13"/>
              </w:rPr>
              <w:t>E18 ASLIA《Code》，1.1.1 Confidentiality（p.3）：从业者应尊重所有参与者的隐私，并对在提供专业服务过程中获知的一切信息予以保密，无论是口译任务本身还是有关任务的细节信息。</w:t>
            </w:r>
          </w:p>
        </w:tc>
        <w:tc>
          <w:tcPr>
            <w:tcW w:type="dxa" w:w="41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A03 FIT AI口译立场文件，§11 保密性无法保障（p.2）：保密性。机器翻译与AI无法可靠地保证此类诉讼程序所要求的保密性，从而在《通用数据保护条例》（GDPR）及其他隐私法律下带来风险。</w:t>
            </w:r>
            <w:r>
              <w:br/>
            </w:r>
            <w:r>
              <w:rPr>
                <w:rFonts w:ascii="Arial" w:hAnsi="Arial" w:eastAsia="Noto Sans CJK SC" w:cs="Arial"/>
                <w:b w:val="0"/>
                <w:sz w:val="13"/>
              </w:rPr>
              <w:t>A10 AUSIT AI立场文件，IV(iii) 保密性与源文本/译文完整性（p.23-24）：[本节讨论将文本输入公共/免费AI工具可能导致保密性泄露的风险，以及AI处理可能损害源文本与目标文本完整性的问题，主张译者在处理保密材料时应避…</w:t>
            </w:r>
          </w:p>
        </w:tc>
        <w:tc>
          <w:tcPr>
            <w:tcW w:type="dxa" w:w="3671"/>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邻接：E17 TAC 10—2024，5.1 数据安全与隐私保护（p.4）：5.1 数据安全与隐私保护：机器翻译系统设计应依据《中华人民共和国数据安全法》及《中华人民共和国个人信息保护法》对数据收集、存储、使用、加工和…</w:t>
            </w:r>
          </w:p>
        </w:tc>
        <w:tc>
          <w:tcPr>
            <w:tcW w:type="dxa" w:w="1800"/>
            <w:vAlign w:val="center"/>
            <w:tcMar>
              <w:top w:w="45" w:type="dxa"/>
              <w:start w:w="55" w:type="dxa"/>
              <w:bottom w:w="45" w:type="dxa"/>
              <w:end w:w="55" w:type="dxa"/>
            </w:tcMar>
            <w:shd w:fill="E2F0D9"/>
          </w:tcPr>
          <w:p>
            <w:pPr>
              <w:spacing w:before="0" w:after="0" w:line="240" w:lineRule="auto"/>
              <w:jc w:val="center"/>
            </w:pPr>
            <w:r/>
            <w:r>
              <w:rPr>
                <w:rFonts w:ascii="Arial" w:hAnsi="Arial" w:eastAsia="Noto Sans CJK SC" w:cs="Arial"/>
                <w:b/>
                <w:sz w:val="14"/>
              </w:rPr>
              <w:t>A2</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需在论文中明确：保密是个人义务，数据保护是机构/系统治理；二者不可合并为一个频率指标。</w:t>
            </w:r>
          </w:p>
        </w:tc>
      </w:tr>
      <w:tr>
        <w:trPr>
          <w:cantSplit w:val="false"/>
        </w:trPr>
        <w:tc>
          <w:tcPr>
            <w:tcW w:type="dxa" w:w="4824"/>
            <w:vAlign w:val="center"/>
            <w:tcMar>
              <w:top w:w="45" w:type="dxa"/>
              <w:start w:w="55" w:type="dxa"/>
              <w:bottom w:w="45" w:type="dxa"/>
              <w:end w:w="55" w:type="dxa"/>
            </w:tcMar>
            <w:shd w:fill="E2F0D9"/>
          </w:tcPr>
          <w:p>
            <w:pPr>
              <w:spacing w:before="0" w:after="0" w:line="240" w:lineRule="auto"/>
              <w:jc w:val="left"/>
            </w:pPr>
            <w:r/>
            <w:r>
              <w:rPr>
                <w:rFonts w:ascii="Arial" w:hAnsi="Arial" w:eastAsia="Noto Sans CJK SC" w:cs="Arial"/>
                <w:b/>
                <w:sz w:val="13"/>
              </w:rPr>
              <w:t>11. 隐私/数据保护</w:t>
            </w:r>
            <w:r>
              <w:br/>
            </w:r>
            <w:r>
              <w:rPr>
                <w:rFonts w:ascii="Arial" w:hAnsi="Arial" w:eastAsia="Noto Sans CJK SC" w:cs="Arial"/>
                <w:b/>
                <w:sz w:val="13"/>
              </w:rPr>
              <w:t>【最终条款】口译数据的收集、处理、传输、保存、再利用和删除均须遵循目的限定、最小化、合法依据、权限控制和可审计原则。</w:t>
            </w:r>
          </w:p>
        </w:tc>
        <w:tc>
          <w:tcPr>
            <w:tcW w:type="dxa" w:w="3960"/>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邻接：E18 ASLIA《Code》，1.1.1 Confidentiality（p.3）：从业者应尊重所有参与者的隐私，并对在提供专业服务过程中获知的一切信息予以保密，无论是口译任务本身还是有关任务的细节信息。</w:t>
            </w:r>
            <w:r>
              <w:br/>
            </w:r>
            <w:r>
              <w:rPr>
                <w:rFonts w:ascii="Arial" w:hAnsi="Arial" w:eastAsia="Noto Sans CJK SC" w:cs="Arial"/>
                <w:b w:val="0"/>
                <w:sz w:val="13"/>
              </w:rPr>
              <w:t>邻接：E10 NCIHC医疗口译守则，Principle 1 Confidentiality（p.3）：译员对在履行职业职责过程中获知的所有信息，在治疗团队内部予以保密，同时遵守有关披露的相关要求。</w:t>
            </w:r>
          </w:p>
        </w:tc>
        <w:tc>
          <w:tcPr>
            <w:tcW w:type="dxa" w:w="417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A09 SAFE-AI口译指南，3.4.2 隐私与数据完整性要求（p.12）：隐私与数据完整性。AI口译产品必须通过数据控制来保障数据完整性……指南与政策应包含对数据使用的严格限制……外部审计机构应定期确认算法的完整性。</w:t>
            </w:r>
            <w:r>
              <w:br/>
            </w:r>
            <w:r>
              <w:rPr>
                <w:rFonts w:ascii="Arial" w:hAnsi="Arial" w:eastAsia="Noto Sans CJK SC" w:cs="Arial"/>
                <w:b w:val="0"/>
                <w:sz w:val="13"/>
              </w:rPr>
              <w:t>A08 CIOL AI Voices 2025，CIOL理事会关切(2)：数据失控（p.12）：2. 数据失控。社会、机构与个人需要警惕我们在将数据输入翻译工具与生成式AI时所"交出"的数据。</w:t>
            </w:r>
          </w:p>
        </w:tc>
        <w:tc>
          <w:tcPr>
            <w:tcW w:type="dxa" w:w="367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E17 TAC 10—2024，5.1 数据安全与隐私保护（p.4）：5.1 数据安全与隐私保护：机器翻译系统设计应依据《中华人民共和国数据安全法》及《中华人民共和国个人信息保护法》对数据收集、存储、使用、加工和…</w:t>
            </w:r>
          </w:p>
        </w:tc>
        <w:tc>
          <w:tcPr>
            <w:tcW w:type="dxa" w:w="1800"/>
            <w:vAlign w:val="center"/>
            <w:tcMar>
              <w:top w:w="45" w:type="dxa"/>
              <w:start w:w="55" w:type="dxa"/>
              <w:bottom w:w="45" w:type="dxa"/>
              <w:end w:w="55" w:type="dxa"/>
            </w:tcMar>
            <w:shd w:fill="FCE4D6"/>
          </w:tcPr>
          <w:p>
            <w:pPr>
              <w:spacing w:before="0" w:after="0" w:line="240" w:lineRule="auto"/>
              <w:jc w:val="center"/>
            </w:pPr>
            <w:r/>
            <w:r>
              <w:rPr>
                <w:rFonts w:ascii="Arial" w:hAnsi="Arial" w:eastAsia="Noto Sans CJK SC" w:cs="Arial"/>
                <w:b/>
                <w:sz w:val="14"/>
              </w:rPr>
              <w:t>B2</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职业守则主要以“保密/隐私”表述，数据全生命周期主要由AI/MT文件补入；属于技术化扩展。</w:t>
            </w:r>
          </w:p>
        </w:tc>
      </w:tr>
      <w:tr>
        <w:trPr>
          <w:cantSplit w:val="false"/>
        </w:trPr>
        <w:tc>
          <w:tcPr>
            <w:tcW w:type="dxa" w:w="4824"/>
            <w:vAlign w:val="center"/>
            <w:tcMar>
              <w:top w:w="45" w:type="dxa"/>
              <w:start w:w="55" w:type="dxa"/>
              <w:bottom w:w="45" w:type="dxa"/>
              <w:end w:w="55" w:type="dxa"/>
            </w:tcMar>
            <w:shd w:fill="E2F0D9"/>
          </w:tcPr>
          <w:p>
            <w:pPr>
              <w:spacing w:before="0" w:after="0" w:line="240" w:lineRule="auto"/>
              <w:jc w:val="left"/>
            </w:pPr>
            <w:r/>
            <w:r>
              <w:rPr>
                <w:rFonts w:ascii="Arial" w:hAnsi="Arial" w:eastAsia="Noto Sans CJK SC" w:cs="Arial"/>
                <w:b/>
                <w:sz w:val="13"/>
              </w:rPr>
              <w:t>19. 角色界限</w:t>
            </w:r>
            <w:r>
              <w:br/>
            </w:r>
            <w:r>
              <w:rPr>
                <w:rFonts w:ascii="Arial" w:hAnsi="Arial" w:eastAsia="Noto Sans CJK SC" w:cs="Arial"/>
                <w:b/>
                <w:sz w:val="13"/>
              </w:rPr>
              <w:t>【最终条款】统一框架应清楚划分译员、AI系统、机构及其他专业人员的权限；系统不得越权作决定，译员不得把不可转让的专业判断外包给AI。</w:t>
            </w:r>
          </w:p>
        </w:tc>
        <w:tc>
          <w:tcPr>
            <w:tcW w:type="dxa" w:w="3960"/>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E03 AIIC《Code》2022，Art.4.1 Reserve（p.2）：第4.1条：审慎——协会会员受聘担任会议口译员的会议中，不得履行口译员职责以外的任何职责。</w:t>
            </w:r>
            <w:r>
              <w:br/>
            </w:r>
            <w:r>
              <w:rPr>
                <w:rFonts w:ascii="Arial" w:hAnsi="Arial" w:eastAsia="Noto Sans CJK SC" w:cs="Arial"/>
                <w:b w:val="0"/>
                <w:sz w:val="13"/>
              </w:rPr>
              <w:t>E18 ASLIA《Code》，1.3.2 Scope of Practice（p.4）：从业者不得利用其专业角色履行超出口译任务范围及职责界限的其他职能，不得进行咨询、提供建议或插入个人意见。</w:t>
            </w:r>
          </w:p>
        </w:tc>
        <w:tc>
          <w:tcPr>
            <w:tcW w:type="dxa" w:w="41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A03 FIT AI口译立场文件，§5 捷克口译员执照制度（p.1）：在捷克共和国，口译员依据第354/2019号法律获得执照，获得口译员协助的权利受到法律、宪法条款以及《欧洲人权公约》等国际条约的保护。</w:t>
            </w:r>
            <w:r>
              <w:br/>
            </w:r>
            <w:r>
              <w:rPr>
                <w:rFonts w:ascii="Arial" w:hAnsi="Arial" w:eastAsia="Noto Sans CJK SC" w:cs="Arial"/>
                <w:b w:val="0"/>
                <w:sz w:val="13"/>
              </w:rPr>
              <w:t>A07 SFT AI立场文件，§24 人类应处于翻译流程核心并掌握定价权（p.6）：为对抗AI的偏差，"处于翻译流程核心的人类"必须作为专家得到充分承认……唯有他们才有能力评估在专业范畴内使用AI工具的适当性，并确定所需的价格…</w:t>
            </w:r>
          </w:p>
        </w:tc>
        <w:tc>
          <w:tcPr>
            <w:tcW w:type="dxa" w:w="3671"/>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邻接：E17 TAC 10—2024，5.5 用户利益与责任（p.5）：机器翻译系统设计应关注不同用户群体的需求和利益，按照不同的等级服务标准提供相应服务，满足用户在不同场景的翻译需求。</w:t>
            </w:r>
          </w:p>
        </w:tc>
        <w:tc>
          <w:tcPr>
            <w:tcW w:type="dxa" w:w="1800"/>
            <w:vAlign w:val="center"/>
            <w:tcMar>
              <w:top w:w="45" w:type="dxa"/>
              <w:start w:w="55" w:type="dxa"/>
              <w:bottom w:w="45" w:type="dxa"/>
              <w:end w:w="55" w:type="dxa"/>
            </w:tcMar>
            <w:shd w:fill="E2F0D9"/>
          </w:tcPr>
          <w:p>
            <w:pPr>
              <w:spacing w:before="0" w:after="0" w:line="240" w:lineRule="auto"/>
              <w:jc w:val="center"/>
            </w:pPr>
            <w:r/>
            <w:r>
              <w:rPr>
                <w:rFonts w:ascii="Arial" w:hAnsi="Arial" w:eastAsia="Noto Sans CJK SC" w:cs="Arial"/>
                <w:b/>
                <w:sz w:val="14"/>
              </w:rPr>
              <w:t>A2</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职业守则与立场文件直接支持；TAC/ISO仅作补充或无直接规定，不应把立场文件等同正式标准。</w:t>
            </w:r>
          </w:p>
        </w:tc>
      </w:tr>
      <w:tr>
        <w:trPr>
          <w:cantSplit w:val="false"/>
        </w:trPr>
        <w:tc>
          <w:tcPr>
            <w:tcW w:type="dxa" w:w="4824"/>
            <w:vAlign w:val="center"/>
            <w:tcMar>
              <w:top w:w="45" w:type="dxa"/>
              <w:start w:w="55" w:type="dxa"/>
              <w:bottom w:w="45" w:type="dxa"/>
              <w:end w:w="55" w:type="dxa"/>
            </w:tcMar>
            <w:shd w:fill="E2F0D9"/>
          </w:tcPr>
          <w:p>
            <w:pPr>
              <w:spacing w:before="0" w:after="0" w:line="240" w:lineRule="auto"/>
              <w:jc w:val="left"/>
            </w:pPr>
            <w:r/>
            <w:r>
              <w:rPr>
                <w:rFonts w:ascii="Arial" w:hAnsi="Arial" w:eastAsia="Noto Sans CJK SC" w:cs="Arial"/>
                <w:b/>
                <w:sz w:val="13"/>
              </w:rPr>
              <w:t>24. 知情同意</w:t>
            </w:r>
            <w:r>
              <w:br/>
            </w:r>
            <w:r>
              <w:rPr>
                <w:rFonts w:ascii="Arial" w:hAnsi="Arial" w:eastAsia="Noto Sans CJK SC" w:cs="Arial"/>
                <w:b/>
                <w:sz w:val="13"/>
              </w:rPr>
              <w:t>【最终条款】在可行情况下，服务对象应在充分知情基础上自愿选择或拒绝AI参与，并获得不受不当惩罚的人工或其他可行替代。</w:t>
            </w:r>
          </w:p>
        </w:tc>
        <w:tc>
          <w:tcPr>
            <w:tcW w:type="dxa" w:w="3960"/>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E06 HIN社区口译标准，LITP Std.7 Accuracy and Fidelity（p.23）：口译员仅在获得各方知情同意的情况下进行摘要传译（即交流中部分内容不被传译）。</w:t>
            </w:r>
          </w:p>
        </w:tc>
        <w:tc>
          <w:tcPr>
            <w:tcW w:type="dxa" w:w="417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A09 SAFE-AI口译指南，1. 执行摘要（p.1）：本综合指南阐述了安全、公平且合乎伦理地开发与实施基于人工智能的自动口译产品（AIxAI，亦称机器口译）所应遵循的基本社会语言学标准……本指南为…</w:t>
            </w:r>
            <w:r>
              <w:br/>
            </w:r>
            <w:r>
              <w:rPr>
                <w:rFonts w:ascii="Arial" w:hAnsi="Arial" w:eastAsia="Noto Sans CJK SC" w:cs="Arial"/>
                <w:b w:val="0"/>
                <w:sz w:val="13"/>
              </w:rPr>
              <w:t>A10 AUSIT AI立场文件，执行摘要：服务方应告知客户AI使用情况（p.4）：若T&amp;I服务提供方选择在其流程中使用AI工具，则有义务告知客户或终端用户此事，以便用户行使其自主权……同样，若AI工具已被用于生成初始译文，服…</w:t>
            </w:r>
          </w:p>
        </w:tc>
        <w:tc>
          <w:tcPr>
            <w:tcW w:type="dxa" w:w="367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E17 TAC 10—2024，8.2 知情同意（p.7）：8.2 知情同意：厂商应确保用户知悉其机器翻译系统的应用范围，明确给予用户拒绝系统获取其翻译内容的权利。</w:t>
            </w:r>
          </w:p>
        </w:tc>
        <w:tc>
          <w:tcPr>
            <w:tcW w:type="dxa" w:w="1800"/>
            <w:vAlign w:val="center"/>
            <w:tcMar>
              <w:top w:w="45" w:type="dxa"/>
              <w:start w:w="55" w:type="dxa"/>
              <w:bottom w:w="45" w:type="dxa"/>
              <w:end w:w="55" w:type="dxa"/>
            </w:tcMar>
            <w:shd w:fill="C6E0B4"/>
          </w:tcPr>
          <w:p>
            <w:pPr>
              <w:spacing w:before="0" w:after="0" w:line="240" w:lineRule="auto"/>
              <w:jc w:val="center"/>
            </w:pPr>
            <w:r/>
            <w:r>
              <w:rPr>
                <w:rFonts w:ascii="Arial" w:hAnsi="Arial" w:eastAsia="Noto Sans CJK SC" w:cs="Arial"/>
                <w:b/>
                <w:sz w:val="14"/>
              </w:rPr>
              <w:t>A1</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三类证据相互支撑；仍需在正文中区分文件效力、适用范围与口译情境化后的改写。</w:t>
            </w:r>
          </w:p>
        </w:tc>
      </w:tr>
      <w:tr>
        <w:trPr>
          <w:cantSplit w:val="false"/>
        </w:trPr>
        <w:tc>
          <w:tcPr>
            <w:tcW w:type="dxa" w:w="4824"/>
            <w:vAlign w:val="center"/>
            <w:tcMar>
              <w:top w:w="45" w:type="dxa"/>
              <w:start w:w="55" w:type="dxa"/>
              <w:bottom w:w="45" w:type="dxa"/>
              <w:end w:w="55" w:type="dxa"/>
            </w:tcMar>
            <w:shd w:fill="E2F0D9"/>
          </w:tcPr>
          <w:p>
            <w:pPr>
              <w:spacing w:before="0" w:after="0" w:line="240" w:lineRule="auto"/>
              <w:jc w:val="left"/>
            </w:pPr>
            <w:r/>
            <w:r>
              <w:rPr>
                <w:rFonts w:ascii="Arial" w:hAnsi="Arial" w:eastAsia="Noto Sans CJK SC" w:cs="Arial"/>
                <w:b/>
                <w:sz w:val="13"/>
              </w:rPr>
              <w:t>26. 尊重当事人/自主权</w:t>
            </w:r>
            <w:r>
              <w:br/>
            </w:r>
            <w:r>
              <w:rPr>
                <w:rFonts w:ascii="Arial" w:hAnsi="Arial" w:eastAsia="Noto Sans CJK SC" w:cs="Arial"/>
                <w:b/>
                <w:sz w:val="13"/>
              </w:rPr>
              <w:t>【最终条款】人机协作的设计与实施应以当事人的尊严、表达权、自主选择和实际沟通需要为优先，不得以技术便利取代人的能动性。</w:t>
            </w:r>
          </w:p>
        </w:tc>
        <w:tc>
          <w:tcPr>
            <w:tcW w:type="dxa" w:w="3960"/>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E15 NAIE教育口译守则，Tenet1(a)（p.2）：口译员尊重学生以其自选语言表达自我的权利。</w:t>
            </w:r>
            <w:r>
              <w:br/>
            </w:r>
            <w:r>
              <w:rPr>
                <w:rFonts w:ascii="Arial" w:hAnsi="Arial" w:eastAsia="Noto Sans CJK SC" w:cs="Arial"/>
                <w:b w:val="0"/>
                <w:sz w:val="13"/>
              </w:rPr>
              <w:t>E06 HIN社区口译标准，LITP Std.17 Respect for Persons（p.26）：口译员对各方当事人表示尊重。</w:t>
            </w:r>
          </w:p>
        </w:tc>
        <w:tc>
          <w:tcPr>
            <w:tcW w:type="dxa" w:w="41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A03 FIT AI口译立场文件，§7 公平审判权受侵害（p.1-2）：权利被剥夺。公平审判权是受法律确立的基本权利（《欧洲人权公约》第6条、《美洲人权公约》第8条以及捷克第354/2019号法律）。</w:t>
            </w:r>
          </w:p>
        </w:tc>
        <w:tc>
          <w:tcPr>
            <w:tcW w:type="dxa" w:w="3671"/>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邻接：E17 TAC 10—2024，8.2 知情同意（p.7）：8.2 知情同意：厂商应确保用户知悉其机器翻译系统的应用范围，明确给予用户拒绝系统获取其翻译内容的权利。</w:t>
            </w:r>
          </w:p>
        </w:tc>
        <w:tc>
          <w:tcPr>
            <w:tcW w:type="dxa" w:w="1800"/>
            <w:vAlign w:val="center"/>
            <w:tcMar>
              <w:top w:w="45" w:type="dxa"/>
              <w:start w:w="55" w:type="dxa"/>
              <w:bottom w:w="45" w:type="dxa"/>
              <w:end w:w="55" w:type="dxa"/>
            </w:tcMar>
            <w:shd w:fill="E2F0D9"/>
          </w:tcPr>
          <w:p>
            <w:pPr>
              <w:spacing w:before="0" w:after="0" w:line="240" w:lineRule="auto"/>
              <w:jc w:val="center"/>
            </w:pPr>
            <w:r/>
            <w:r>
              <w:rPr>
                <w:rFonts w:ascii="Arial" w:hAnsi="Arial" w:eastAsia="Noto Sans CJK SC" w:cs="Arial"/>
                <w:b/>
                <w:sz w:val="14"/>
              </w:rPr>
              <w:t>A2</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职业守则与立场文件直接支持；TAC/ISO仅作补充或无直接规定，不应把立场文件等同正式标准。</w:t>
            </w:r>
          </w:p>
        </w:tc>
      </w:tr>
    </w:tbl>
    <w:p>
      <w:pPr>
        <w:spacing w:before="0" w:after="20" w:line="252" w:lineRule="auto"/>
      </w:pPr>
      <w:r>
        <w:rPr>
          <w:rFonts w:ascii="Arial" w:hAnsi="Arial" w:eastAsia="Noto Sans CJK SC" w:cs="Arial"/>
          <w:b w:val="0"/>
          <w:sz w:val="4"/>
        </w:rPr>
      </w:r>
    </w:p>
    <w:p>
      <w:pPr>
        <w:spacing w:before="80" w:after="60" w:line="252" w:lineRule="auto"/>
      </w:pPr>
      <w:r>
        <w:rPr>
          <w:rFonts w:ascii="Arial" w:hAnsi="Arial" w:eastAsia="Noto Sans CJK SC" w:cs="Arial"/>
          <w:b/>
          <w:color w:val="1F4E79"/>
          <w:sz w:val="25"/>
        </w:rPr>
        <w:t>沟通真实性与专业可靠性</w:t>
      </w:r>
    </w:p>
    <w:tbl>
      <w:tblPr>
        <w:tblStyle w:val="TableGrid"/>
        <w:tblW w:type="auto" w:w="0"/>
        <w:jc w:val="center"/>
        <w:tblLayout w:type="fixed"/>
        <w:tblLook w:firstColumn="1" w:firstRow="1" w:lastColumn="0" w:lastRow="0" w:noHBand="0" w:noVBand="1" w:val="04A0"/>
      </w:tblPr>
      <w:tblGrid>
        <w:gridCol w:w="3806"/>
        <w:gridCol w:w="3806"/>
        <w:gridCol w:w="3806"/>
        <w:gridCol w:w="3806"/>
        <w:gridCol w:w="3806"/>
        <w:gridCol w:w="3806"/>
      </w:tblGrid>
      <w:tr>
        <w:trPr>
          <w:tblHeader w:val="true"/>
        </w:trPr>
        <w:tc>
          <w:tcPr>
            <w:tcW w:type="dxa" w:w="482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维度与最终框架条款</w:t>
            </w:r>
          </w:p>
        </w:tc>
        <w:tc>
          <w:tcPr>
            <w:tcW w:type="dxa" w:w="3960"/>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职业守则证据（P）</w:t>
            </w:r>
          </w:p>
        </w:tc>
        <w:tc>
          <w:tcPr>
            <w:tcW w:type="dxa" w:w="4176"/>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AI/MT立场文件证据（A01–A10）</w:t>
            </w:r>
          </w:p>
        </w:tc>
        <w:tc>
          <w:tcPr>
            <w:tcW w:type="dxa" w:w="3671"/>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正式MT/技术标准证据</w:t>
            </w:r>
          </w:p>
        </w:tc>
        <w:tc>
          <w:tcPr>
            <w:tcW w:type="dxa" w:w="1800"/>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证据等级</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剩余缺口与论文处理</w:t>
            </w:r>
          </w:p>
        </w:tc>
      </w:tr>
      <w:tr>
        <w:trPr>
          <w:cantSplit w:val="false"/>
        </w:trPr>
        <w:tc>
          <w:tcPr>
            <w:tcW w:type="dxa" w:w="4824"/>
            <w:vAlign w:val="center"/>
            <w:tcMar>
              <w:top w:w="45" w:type="dxa"/>
              <w:start w:w="55" w:type="dxa"/>
              <w:bottom w:w="45" w:type="dxa"/>
              <w:end w:w="55" w:type="dxa"/>
            </w:tcMar>
            <w:shd w:fill="D9EAF7"/>
          </w:tcPr>
          <w:p>
            <w:pPr>
              <w:spacing w:before="0" w:after="0" w:line="240" w:lineRule="auto"/>
              <w:jc w:val="left"/>
            </w:pPr>
            <w:r/>
            <w:r>
              <w:rPr>
                <w:rFonts w:ascii="Arial" w:hAnsi="Arial" w:eastAsia="Noto Sans CJK SC" w:cs="Arial"/>
                <w:b/>
                <w:sz w:val="13"/>
              </w:rPr>
              <w:t>2. 胜任能力</w:t>
            </w:r>
            <w:r>
              <w:br/>
            </w:r>
            <w:r>
              <w:rPr>
                <w:rFonts w:ascii="Arial" w:hAnsi="Arial" w:eastAsia="Noto Sans CJK SC" w:cs="Arial"/>
                <w:b/>
                <w:sz w:val="13"/>
              </w:rPr>
              <w:t>【最终条款】只有在译员、系统与工作流均与语言组合、场景及风险等级相适配时方可采用人机协作；任何一环不胜任均应拒绝、升级或改用替代方案。</w:t>
            </w:r>
          </w:p>
        </w:tc>
        <w:tc>
          <w:tcPr>
            <w:tcW w:type="dxa" w:w="3960"/>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E03 AIIC《Code》2022，Art.1 Professionalism（p.2）：第1条：专业操守——协会会员不得接受其不具备资质的任务。</w:t>
            </w:r>
            <w:r>
              <w:br/>
            </w:r>
            <w:r>
              <w:rPr>
                <w:rFonts w:ascii="Arial" w:hAnsi="Arial" w:eastAsia="Noto Sans CJK SC" w:cs="Arial"/>
                <w:b w:val="0"/>
                <w:sz w:val="13"/>
              </w:rPr>
              <w:t>E18 ASLIA《Code》，1.2.4 Professional Conduct（p.3）：从业者在接受工作前应考虑自身语言能力、知识及可用资源的局限性；一旦意识到无法提供专业服务，应从相关场合中退出。</w:t>
            </w:r>
          </w:p>
        </w:tc>
        <w:tc>
          <w:tcPr>
            <w:tcW w:type="dxa" w:w="41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A03 FIT AI口译立场文件，§3 去技能化担忧（p.1）：过去数十年的全球趋势是加大对严格资质认证与质量评估标准更广泛实施的支持与投入，加强培训与持续专业发展。</w:t>
            </w:r>
            <w:r>
              <w:br/>
            </w:r>
            <w:r>
              <w:rPr>
                <w:rFonts w:ascii="Arial" w:hAnsi="Arial" w:eastAsia="Noto Sans CJK SC" w:cs="Arial"/>
                <w:b w:val="0"/>
                <w:sz w:val="13"/>
              </w:rPr>
              <w:t>A10 AUSIT AI立场文件，I(ii) 开发商自述局限与免责声明（p.9）：目前，用于自动化口译的SLRT技术仍处于开发阶段。</w:t>
            </w:r>
          </w:p>
        </w:tc>
        <w:tc>
          <w:tcPr>
            <w:tcW w:type="dxa" w:w="3671"/>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E07 ISO 18587，4.2 Pre-production（p.6）：4.2 译前流程——TSP应确保译后编辑员可获取与客户协商确定的所有参考材料及译后编辑所需资源。</w:t>
            </w:r>
          </w:p>
        </w:tc>
        <w:tc>
          <w:tcPr>
            <w:tcW w:type="dxa" w:w="1800"/>
            <w:vAlign w:val="center"/>
            <w:tcMar>
              <w:top w:w="45" w:type="dxa"/>
              <w:start w:w="55" w:type="dxa"/>
              <w:bottom w:w="45" w:type="dxa"/>
              <w:end w:w="55" w:type="dxa"/>
            </w:tcMar>
            <w:shd w:fill="C6E0B4"/>
          </w:tcPr>
          <w:p>
            <w:pPr>
              <w:spacing w:before="0" w:after="0" w:line="240" w:lineRule="auto"/>
              <w:jc w:val="center"/>
            </w:pPr>
            <w:r/>
            <w:r>
              <w:rPr>
                <w:rFonts w:ascii="Arial" w:hAnsi="Arial" w:eastAsia="Noto Sans CJK SC" w:cs="Arial"/>
                <w:b/>
                <w:sz w:val="14"/>
              </w:rPr>
              <w:t>A1</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三类证据相互支撑；仍需在正文中区分文件效力、适用范围与口译情境化后的改写。</w:t>
            </w:r>
          </w:p>
        </w:tc>
      </w:tr>
      <w:tr>
        <w:trPr>
          <w:cantSplit w:val="false"/>
        </w:trPr>
        <w:tc>
          <w:tcPr>
            <w:tcW w:type="dxa" w:w="4824"/>
            <w:vAlign w:val="center"/>
            <w:tcMar>
              <w:top w:w="45" w:type="dxa"/>
              <w:start w:w="55" w:type="dxa"/>
              <w:bottom w:w="45" w:type="dxa"/>
              <w:end w:w="55" w:type="dxa"/>
            </w:tcMar>
            <w:shd w:fill="D9EAF7"/>
          </w:tcPr>
          <w:p>
            <w:pPr>
              <w:spacing w:before="0" w:after="0" w:line="240" w:lineRule="auto"/>
              <w:jc w:val="left"/>
            </w:pPr>
            <w:r/>
            <w:r>
              <w:rPr>
                <w:rFonts w:ascii="Arial" w:hAnsi="Arial" w:eastAsia="Noto Sans CJK SC" w:cs="Arial"/>
                <w:b/>
                <w:sz w:val="13"/>
              </w:rPr>
              <w:t>3. 忠实/准确</w:t>
            </w:r>
            <w:r>
              <w:br/>
            </w:r>
            <w:r>
              <w:rPr>
                <w:rFonts w:ascii="Arial" w:hAnsi="Arial" w:eastAsia="Noto Sans CJK SC" w:cs="Arial"/>
                <w:b/>
                <w:sz w:val="13"/>
              </w:rPr>
              <w:t>【最终条款】人机协作口译须以完整、准确和语境适切的意义传达为目标；系统输出须经与风险相称的人类核验，并具备实时纠错和接管机制。</w:t>
            </w:r>
          </w:p>
        </w:tc>
        <w:tc>
          <w:tcPr>
            <w:tcW w:type="dxa" w:w="3960"/>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E03 AIIC《Code》2022，Art.10 Fidelity（p.3）：第10条：传译忠实性——口译员应力求忠实、精确地传译信息，努力做到不加修饰、不遗漏、不改动地传达信息。</w:t>
            </w:r>
            <w:r>
              <w:br/>
            </w:r>
            <w:r>
              <w:rPr>
                <w:rFonts w:ascii="Arial" w:hAnsi="Arial" w:eastAsia="Noto Sans CJK SC" w:cs="Arial"/>
                <w:b w:val="0"/>
                <w:sz w:val="13"/>
              </w:rPr>
              <w:t>E18 ASLIA《Code》，2.2.1 Faithfulness of Interpretation（p.5）：每一次口译都应忠实于源文本的信息并如实传达之。</w:t>
            </w:r>
          </w:p>
        </w:tc>
        <w:tc>
          <w:tcPr>
            <w:tcW w:type="dxa" w:w="417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A03 FIT AI口译立场文件，§6 以技术设备取代认证口译员之担忧（p.1）：以"经认证的技术设备"取代经认证的人工口译员，在敏感的法律与行政诉讼程序中，对口译的准确性、公正性与清晰度引发了严重关切。</w:t>
            </w:r>
            <w:r>
              <w:br/>
            </w:r>
            <w:r>
              <w:rPr>
                <w:rFonts w:ascii="Arial" w:hAnsi="Arial" w:eastAsia="Noto Sans CJK SC" w:cs="Arial"/>
                <w:b w:val="0"/>
                <w:sz w:val="13"/>
              </w:rPr>
              <w:t>A07 SFT AI立场文件，§5 AI不具智能，无法理解语境（p.2）：首先应当指出，所谓"人工智能"并不具备真正的智能，也不会思考。</w:t>
            </w:r>
          </w:p>
        </w:tc>
        <w:tc>
          <w:tcPr>
            <w:tcW w:type="dxa" w:w="367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E07 ISO 18587，4.3.1 Objectives（p.6）：4.3.1 译后编辑流程中的目标——TSP应确保译后编辑员始终达成以下目标：a）经译后编辑的MT输出的可理解性；b）源语言内容与目标语言内容的…</w:t>
            </w:r>
          </w:p>
        </w:tc>
        <w:tc>
          <w:tcPr>
            <w:tcW w:type="dxa" w:w="1800"/>
            <w:vAlign w:val="center"/>
            <w:tcMar>
              <w:top w:w="45" w:type="dxa"/>
              <w:start w:w="55" w:type="dxa"/>
              <w:bottom w:w="45" w:type="dxa"/>
              <w:end w:w="55" w:type="dxa"/>
            </w:tcMar>
            <w:shd w:fill="C6E0B4"/>
          </w:tcPr>
          <w:p>
            <w:pPr>
              <w:spacing w:before="0" w:after="0" w:line="240" w:lineRule="auto"/>
              <w:jc w:val="center"/>
            </w:pPr>
            <w:r/>
            <w:r>
              <w:rPr>
                <w:rFonts w:ascii="Arial" w:hAnsi="Arial" w:eastAsia="Noto Sans CJK SC" w:cs="Arial"/>
                <w:b/>
                <w:sz w:val="14"/>
              </w:rPr>
              <w:t>A1</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三类证据相互支撑；仍需在正文中区分文件效力、适用范围与口译情境化后的改写。</w:t>
            </w:r>
          </w:p>
        </w:tc>
      </w:tr>
      <w:tr>
        <w:trPr>
          <w:cantSplit w:val="false"/>
        </w:trPr>
        <w:tc>
          <w:tcPr>
            <w:tcW w:type="dxa" w:w="4824"/>
            <w:vAlign w:val="center"/>
            <w:tcMar>
              <w:top w:w="45" w:type="dxa"/>
              <w:start w:w="55" w:type="dxa"/>
              <w:bottom w:w="45" w:type="dxa"/>
              <w:end w:w="55" w:type="dxa"/>
            </w:tcMar>
            <w:shd w:fill="D9EAF7"/>
          </w:tcPr>
          <w:p>
            <w:pPr>
              <w:spacing w:before="0" w:after="0" w:line="240" w:lineRule="auto"/>
              <w:jc w:val="left"/>
            </w:pPr>
            <w:r/>
            <w:r>
              <w:rPr>
                <w:rFonts w:ascii="Arial" w:hAnsi="Arial" w:eastAsia="Noto Sans CJK SC" w:cs="Arial"/>
                <w:b/>
                <w:sz w:val="13"/>
              </w:rPr>
              <w:t>5. 持续专业发展</w:t>
            </w:r>
            <w:r>
              <w:br/>
            </w:r>
            <w:r>
              <w:rPr>
                <w:rFonts w:ascii="Arial" w:hAnsi="Arial" w:eastAsia="Noto Sans CJK SC" w:cs="Arial"/>
                <w:b/>
                <w:sz w:val="13"/>
              </w:rPr>
              <w:t>【最终条款】相关人员应持续更新专业能力和AI素养；机构须提供按角色与风险分级的培训、再验证和故障演练。</w:t>
            </w:r>
          </w:p>
        </w:tc>
        <w:tc>
          <w:tcPr>
            <w:tcW w:type="dxa" w:w="3960"/>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E03 AIIC《Code》2022，Art.5 CPD（p.3）：第5条：持续职业发展——协会会员应致力于持续职业发展。</w:t>
            </w:r>
            <w:r>
              <w:br/>
            </w:r>
            <w:r>
              <w:rPr>
                <w:rFonts w:ascii="Arial" w:hAnsi="Arial" w:eastAsia="Noto Sans CJK SC" w:cs="Arial"/>
                <w:b w:val="0"/>
                <w:sz w:val="13"/>
              </w:rPr>
              <w:t>E18 ASLIA《Code》，2.4.1 Ongoing Professional Development（p.5）：从业者应将当前的理论与应用知识融入其专业实践，并通过职业生涯中的持续教育不断提升该知识水平，同时应努力提升NAATI认证等级并参与认证复核程序。</w:t>
            </w:r>
          </w:p>
        </w:tc>
        <w:tc>
          <w:tcPr>
            <w:tcW w:type="dxa" w:w="41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A07 SFT AI立场文件，§33 呼吁教育界与公共部门重视青年培养（p.8）：语言……是IAG发展中的一项重大议题……SFT提醒负责中小学与大学课程的教师群体及公共部门，青年一代的培养至关重要……他们必须继续学会学习、核…</w:t>
            </w:r>
            <w:r>
              <w:br/>
            </w:r>
            <w:r>
              <w:rPr>
                <w:rFonts w:ascii="Arial" w:hAnsi="Arial" w:eastAsia="Noto Sans CJK SC" w:cs="Arial"/>
                <w:b w:val="0"/>
                <w:sz w:val="13"/>
              </w:rPr>
              <w:t>A08 CIOL AI Voices 2025，Vasiliki Prestidge（CIOL理事）§1 语言学家仍是真正专家（p.7）：我们语言学家才是这一领域真正的专家，而非技术布道者。</w:t>
            </w:r>
          </w:p>
        </w:tc>
        <w:tc>
          <w:tcPr>
            <w:tcW w:type="dxa" w:w="3671"/>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邻接：E07 ISO 18587，5.3 Professionalism（p.8）：5.3 专业素养——译后编辑员应以专业态度对待译后编辑任务……并应具备：a）对MT技术的一般性了解及对MT系统常见错误的基本理解；b）对计算机…</w:t>
            </w:r>
          </w:p>
        </w:tc>
        <w:tc>
          <w:tcPr>
            <w:tcW w:type="dxa" w:w="1800"/>
            <w:vAlign w:val="center"/>
            <w:tcMar>
              <w:top w:w="45" w:type="dxa"/>
              <w:start w:w="55" w:type="dxa"/>
              <w:bottom w:w="45" w:type="dxa"/>
              <w:end w:w="55" w:type="dxa"/>
            </w:tcMar>
            <w:shd w:fill="E2F0D9"/>
          </w:tcPr>
          <w:p>
            <w:pPr>
              <w:spacing w:before="0" w:after="0" w:line="240" w:lineRule="auto"/>
              <w:jc w:val="center"/>
            </w:pPr>
            <w:r/>
            <w:r>
              <w:rPr>
                <w:rFonts w:ascii="Arial" w:hAnsi="Arial" w:eastAsia="Noto Sans CJK SC" w:cs="Arial"/>
                <w:b/>
                <w:sz w:val="14"/>
              </w:rPr>
              <w:t>A2</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职业守则与立场文件直接支持；TAC/ISO仅作补充或无直接规定，不应把立场文件等同正式标准。</w:t>
            </w:r>
          </w:p>
        </w:tc>
      </w:tr>
      <w:tr>
        <w:trPr>
          <w:cantSplit w:val="false"/>
        </w:trPr>
        <w:tc>
          <w:tcPr>
            <w:tcW w:type="dxa" w:w="4824"/>
            <w:vAlign w:val="center"/>
            <w:tcMar>
              <w:top w:w="45" w:type="dxa"/>
              <w:start w:w="55" w:type="dxa"/>
              <w:bottom w:w="45" w:type="dxa"/>
              <w:end w:w="55" w:type="dxa"/>
            </w:tcMar>
            <w:shd w:fill="D9EAF7"/>
          </w:tcPr>
          <w:p>
            <w:pPr>
              <w:spacing w:before="0" w:after="0" w:line="240" w:lineRule="auto"/>
              <w:jc w:val="left"/>
            </w:pPr>
            <w:r/>
            <w:r>
              <w:rPr>
                <w:rFonts w:ascii="Arial" w:hAnsi="Arial" w:eastAsia="Noto Sans CJK SC" w:cs="Arial"/>
                <w:b/>
                <w:sz w:val="13"/>
              </w:rPr>
              <w:t>8. 质量保证</w:t>
            </w:r>
            <w:r>
              <w:br/>
            </w:r>
            <w:r>
              <w:rPr>
                <w:rFonts w:ascii="Arial" w:hAnsi="Arial" w:eastAsia="Noto Sans CJK SC" w:cs="Arial"/>
                <w:b/>
                <w:sz w:val="13"/>
              </w:rPr>
              <w:t>【最终条款】机构须建立覆盖准入测试、实时监测、人工抽检、版本管理、事故复盘和持续改进的分级质量保证体系。</w:t>
            </w:r>
          </w:p>
        </w:tc>
        <w:tc>
          <w:tcPr>
            <w:tcW w:type="dxa" w:w="3960"/>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E03 AIIC《Code》2022，Art.15.1 Sound/visibility/comfort（p.4）：第14.2条：争议——两名或以上协会会员（含候选人及预候选人）之间产生的与本职业相关的任何问题，除商业性质的争议外，均可提交纪律与争议委员会仲…</w:t>
            </w:r>
            <w:r>
              <w:br/>
            </w:r>
            <w:r>
              <w:rPr>
                <w:rFonts w:ascii="Arial" w:hAnsi="Arial" w:eastAsia="Noto Sans CJK SC" w:cs="Arial"/>
                <w:b w:val="0"/>
                <w:sz w:val="13"/>
              </w:rPr>
              <w:t>E15 NAIE教育口译守则，Tenet2(c)（p.2）：口译员认识到聋人译员或其他母语示范者参与的必要性，并为此进行倡导。</w:t>
            </w:r>
          </w:p>
        </w:tc>
        <w:tc>
          <w:tcPr>
            <w:tcW w:type="dxa" w:w="417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A09 SAFE-AI口译指南，3.4.1 评估指标须公开发布（p.11）：对AI口译产品性能的评估，需要公开发布常用于评估机器学习模型的各项指标结果……此类指标至少须符合ASTM国际、NIST及/或ISO所确立的质量…</w:t>
            </w:r>
            <w:r>
              <w:br/>
            </w:r>
            <w:r>
              <w:rPr>
                <w:rFonts w:ascii="Arial" w:hAnsi="Arial" w:eastAsia="Noto Sans CJK SC" w:cs="Arial"/>
                <w:b w:val="0"/>
                <w:sz w:val="13"/>
              </w:rPr>
              <w:t>A10 AUSIT AI立场文件，IV(v) 不同文本类型/场景对AI适用性的影响（p.25-27）：[本节讨论不同翻译主题、文本体裁及口译场景（如法律、医疗、文学、日常交流等）对AI/MT适用性的不同要求，主张应根据风险与场景差异化决定AI使…</w:t>
            </w:r>
          </w:p>
        </w:tc>
        <w:tc>
          <w:tcPr>
            <w:tcW w:type="dxa" w:w="367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E17 TAC 10—2024，6.1.2 算法可靠性（p.5）：6.1.2 算法可靠性：机器翻译算法应能确保系统以稳定的响应速度和质量持续提供符合预期的服务或实现预定的算法目标，保证系统性能和输出结果的准确…</w:t>
            </w:r>
            <w:r>
              <w:br/>
            </w:r>
            <w:r>
              <w:rPr>
                <w:rFonts w:ascii="Arial" w:hAnsi="Arial" w:eastAsia="Noto Sans CJK SC" w:cs="Arial"/>
                <w:b w:val="0"/>
                <w:sz w:val="13"/>
              </w:rPr>
              <w:t>E07 ISO 18587，4.2 Pre-production（p.5）：4.2 译前流程——TSP应建立相应流程，必要时与客户协商，判定源语言内容是否适合进行机器翻译及后续译后编辑，因为MT/译后编辑组合效率取决于…</w:t>
            </w:r>
          </w:p>
        </w:tc>
        <w:tc>
          <w:tcPr>
            <w:tcW w:type="dxa" w:w="1800"/>
            <w:vAlign w:val="center"/>
            <w:tcMar>
              <w:top w:w="45" w:type="dxa"/>
              <w:start w:w="55" w:type="dxa"/>
              <w:bottom w:w="45" w:type="dxa"/>
              <w:end w:w="55" w:type="dxa"/>
            </w:tcMar>
            <w:shd w:fill="C6E0B4"/>
          </w:tcPr>
          <w:p>
            <w:pPr>
              <w:spacing w:before="0" w:after="0" w:line="240" w:lineRule="auto"/>
              <w:jc w:val="center"/>
            </w:pPr>
            <w:r/>
            <w:r>
              <w:rPr>
                <w:rFonts w:ascii="Arial" w:hAnsi="Arial" w:eastAsia="Noto Sans CJK SC" w:cs="Arial"/>
                <w:b/>
                <w:sz w:val="14"/>
              </w:rPr>
              <w:t>A1</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三类证据相互支撑；仍需在正文中区分文件效力、适用范围与口译情境化后的改写。</w:t>
            </w:r>
          </w:p>
        </w:tc>
      </w:tr>
      <w:tr>
        <w:trPr>
          <w:cantSplit w:val="false"/>
        </w:trPr>
        <w:tc>
          <w:tcPr>
            <w:tcW w:type="dxa" w:w="4824"/>
            <w:vAlign w:val="center"/>
            <w:tcMar>
              <w:top w:w="45" w:type="dxa"/>
              <w:start w:w="55" w:type="dxa"/>
              <w:bottom w:w="45" w:type="dxa"/>
              <w:end w:w="55" w:type="dxa"/>
            </w:tcMar>
            <w:shd w:fill="D9EAF7"/>
          </w:tcPr>
          <w:p>
            <w:pPr>
              <w:spacing w:before="0" w:after="0" w:line="240" w:lineRule="auto"/>
              <w:jc w:val="left"/>
            </w:pPr>
            <w:r/>
            <w:r>
              <w:rPr>
                <w:rFonts w:ascii="Arial" w:hAnsi="Arial" w:eastAsia="Noto Sans CJK SC" w:cs="Arial"/>
                <w:b/>
                <w:sz w:val="13"/>
              </w:rPr>
              <w:t>9. 文化/语言能力</w:t>
            </w:r>
            <w:r>
              <w:br/>
            </w:r>
            <w:r>
              <w:rPr>
                <w:rFonts w:ascii="Arial" w:hAnsi="Arial" w:eastAsia="Noto Sans CJK SC" w:cs="Arial"/>
                <w:b/>
                <w:sz w:val="13"/>
              </w:rPr>
              <w:t>【最终条款】人机口译须尊重语言与文化语境；系统应按语言、方言、口音和文化场景验证，人类须对语境适切性保留最终判断。</w:t>
            </w:r>
          </w:p>
        </w:tc>
        <w:tc>
          <w:tcPr>
            <w:tcW w:type="dxa" w:w="3960"/>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E10 NCIHC医疗口译守则，Principle 5 Cultural Awareness（p.3）：译员持续努力发展对自身及在履职过程中所遇到的其他文化（包括生物医学文化）的认知。</w:t>
            </w:r>
            <w:r>
              <w:br/>
            </w:r>
            <w:r>
              <w:rPr>
                <w:rFonts w:ascii="Arial" w:hAnsi="Arial" w:eastAsia="Noto Sans CJK SC" w:cs="Arial"/>
                <w:b w:val="0"/>
                <w:sz w:val="13"/>
              </w:rPr>
              <w:t>E18 ASLIA《Code》，3.3.1 Deaf Interpreters（p.6）：在为使用地区手语方言、非标准手语、外国手语及新兴语言使用者提供服务时，可能需要聋人口译员的协助；对于存在影响沟通的残障状况的个人，亦可能需要聋…</w:t>
            </w:r>
          </w:p>
        </w:tc>
        <w:tc>
          <w:tcPr>
            <w:tcW w:type="dxa" w:w="41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A03 FIT AI口译立场文件，§14 文化因素考量（p.3）：文化因素考量。文化理解与非言语交际在口译中至关重要。</w:t>
            </w:r>
            <w:r>
              <w:br/>
            </w:r>
            <w:r>
              <w:rPr>
                <w:rFonts w:ascii="Arial" w:hAnsi="Arial" w:eastAsia="Noto Sans CJK SC" w:cs="Arial"/>
                <w:b w:val="0"/>
                <w:sz w:val="13"/>
              </w:rPr>
              <w:t>A07 SFT AI立场文件，§20 警示：语言/文化不平等加剧（p.5）：由于AI基于主要来自西方、且以英语为主的训练数据运作，它与译者职业的宗旨背道而驰：它损害多样性，使语言枯竭，并加剧文化间的不平等。</w:t>
            </w:r>
          </w:p>
        </w:tc>
        <w:tc>
          <w:tcPr>
            <w:tcW w:type="dxa" w:w="3671"/>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E17 TAC 10—2024，5.3 包容性与多样性（p.4）：5.3 包容性与多样性：机器翻译系统设计应关注不同用户群体的多样化需求，提高对用户多元需求的敏感性和适应性，服务于更广泛的用户群体。</w:t>
            </w:r>
          </w:p>
        </w:tc>
        <w:tc>
          <w:tcPr>
            <w:tcW w:type="dxa" w:w="1800"/>
            <w:vAlign w:val="center"/>
            <w:tcMar>
              <w:top w:w="45" w:type="dxa"/>
              <w:start w:w="55" w:type="dxa"/>
              <w:bottom w:w="45" w:type="dxa"/>
              <w:end w:w="55" w:type="dxa"/>
            </w:tcMar>
            <w:shd w:fill="C6E0B4"/>
          </w:tcPr>
          <w:p>
            <w:pPr>
              <w:spacing w:before="0" w:after="0" w:line="240" w:lineRule="auto"/>
              <w:jc w:val="center"/>
            </w:pPr>
            <w:r/>
            <w:r>
              <w:rPr>
                <w:rFonts w:ascii="Arial" w:hAnsi="Arial" w:eastAsia="Noto Sans CJK SC" w:cs="Arial"/>
                <w:b/>
                <w:sz w:val="14"/>
              </w:rPr>
              <w:t>A1</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三类证据相互支撑；仍需在正文中区分文件效力、适用范围与口译情境化后的改写。</w:t>
            </w:r>
          </w:p>
        </w:tc>
      </w:tr>
      <w:tr>
        <w:trPr>
          <w:cantSplit w:val="false"/>
        </w:trPr>
        <w:tc>
          <w:tcPr>
            <w:tcW w:type="dxa" w:w="4824"/>
            <w:vAlign w:val="center"/>
            <w:tcMar>
              <w:top w:w="45" w:type="dxa"/>
              <w:start w:w="55" w:type="dxa"/>
              <w:bottom w:w="45" w:type="dxa"/>
              <w:end w:w="55" w:type="dxa"/>
            </w:tcMar>
            <w:shd w:fill="D9EAF7"/>
          </w:tcPr>
          <w:p>
            <w:pPr>
              <w:spacing w:before="0" w:after="0" w:line="240" w:lineRule="auto"/>
              <w:jc w:val="left"/>
            </w:pPr>
            <w:r/>
            <w:r>
              <w:rPr>
                <w:rFonts w:ascii="Arial" w:hAnsi="Arial" w:eastAsia="Noto Sans CJK SC" w:cs="Arial"/>
                <w:b/>
                <w:sz w:val="13"/>
              </w:rPr>
              <w:t>10. 错误更正义务</w:t>
            </w:r>
            <w:r>
              <w:br/>
            </w:r>
            <w:r>
              <w:rPr>
                <w:rFonts w:ascii="Arial" w:hAnsi="Arial" w:eastAsia="Noto Sans CJK SC" w:cs="Arial"/>
                <w:b/>
                <w:sz w:val="13"/>
              </w:rPr>
              <w:t>【最终条款】任何可能影响理解、权利或安全的错误均应被及时告知、纠正、记录和补救；系统必须支持暂停、覆盖和追溯。</w:t>
            </w:r>
          </w:p>
        </w:tc>
        <w:tc>
          <w:tcPr>
            <w:tcW w:type="dxa" w:w="3960"/>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E03 AIIC《Code》2022，Art.11 Errors（p.3）：第11条：传译中的错误——无论错误是由音效不佳还是由误解造成，口译员均应努力指出并立即纠正传译中的任何错误。</w:t>
            </w:r>
            <w:r>
              <w:br/>
            </w:r>
            <w:r>
              <w:rPr>
                <w:rFonts w:ascii="Arial" w:hAnsi="Arial" w:eastAsia="Noto Sans CJK SC" w:cs="Arial"/>
                <w:b w:val="0"/>
                <w:sz w:val="13"/>
              </w:rPr>
              <w:t>E06 HIN社区口译标准，LITP Std.4 Accuracy and Fidelity（p.23）：如有不清楚之处，口译员应要求重复、改述或解释。</w:t>
            </w:r>
          </w:p>
        </w:tc>
        <w:tc>
          <w:tcPr>
            <w:tcW w:type="dxa" w:w="417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A10 AUSIT AI立场文件，V 问责原则的具体化：人工监督内容（p.31）：就口译服务而言，人工监督涉及人工口译员对AI工具表现的若干方面进行监测或定期审计……语言准确性、传达说话者信息之语气、含义与意图的能力、对场景…</w:t>
            </w:r>
          </w:p>
        </w:tc>
        <w:tc>
          <w:tcPr>
            <w:tcW w:type="dxa" w:w="367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E17 TAC 10—2024，8.5 持续改进与用户反馈（p.7）：8.5 持续改进与用户反馈：厂商应鼓励用户以合理的方式提供反馈，并关注系统在实际应用中遇到的问题与挑战，以持续优化系统性能并满足行业需求的不断…</w:t>
            </w:r>
            <w:r>
              <w:br/>
            </w:r>
            <w:r>
              <w:rPr>
                <w:rFonts w:ascii="Arial" w:hAnsi="Arial" w:eastAsia="Noto Sans CJK SC" w:cs="Arial"/>
                <w:b w:val="0"/>
                <w:sz w:val="13"/>
              </w:rPr>
              <w:t>E07 ISO 18587，4.4.2 Feedback（p.7）：4.4.2 反馈——TSP应建立相应流程，从译后编辑员处获取关于MT系统表现的反馈，该反馈可在适当情况下为改进所用MT系统及所遵循流程提供输入。</w:t>
            </w:r>
          </w:p>
        </w:tc>
        <w:tc>
          <w:tcPr>
            <w:tcW w:type="dxa" w:w="1800"/>
            <w:vAlign w:val="center"/>
            <w:tcMar>
              <w:top w:w="45" w:type="dxa"/>
              <w:start w:w="55" w:type="dxa"/>
              <w:bottom w:w="45" w:type="dxa"/>
              <w:end w:w="55" w:type="dxa"/>
            </w:tcMar>
            <w:shd w:fill="C6E0B4"/>
          </w:tcPr>
          <w:p>
            <w:pPr>
              <w:spacing w:before="0" w:after="0" w:line="240" w:lineRule="auto"/>
              <w:jc w:val="center"/>
            </w:pPr>
            <w:r/>
            <w:r>
              <w:rPr>
                <w:rFonts w:ascii="Arial" w:hAnsi="Arial" w:eastAsia="Noto Sans CJK SC" w:cs="Arial"/>
                <w:b/>
                <w:sz w:val="14"/>
              </w:rPr>
              <w:t>A1</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三类证据相互支撑；仍需在正文中区分文件效力、适用范围与口译情境化后的改写。</w:t>
            </w:r>
          </w:p>
        </w:tc>
      </w:tr>
    </w:tbl>
    <w:p>
      <w:pPr>
        <w:spacing w:before="0" w:after="20" w:line="252" w:lineRule="auto"/>
      </w:pPr>
      <w:r>
        <w:rPr>
          <w:rFonts w:ascii="Arial" w:hAnsi="Arial" w:eastAsia="Noto Sans CJK SC" w:cs="Arial"/>
          <w:b w:val="0"/>
          <w:sz w:val="4"/>
        </w:rPr>
      </w:r>
    </w:p>
    <w:p>
      <w:pPr>
        <w:spacing w:before="80" w:after="60" w:line="252" w:lineRule="auto"/>
      </w:pPr>
      <w:r>
        <w:rPr>
          <w:rFonts w:ascii="Arial" w:hAnsi="Arial" w:eastAsia="Noto Sans CJK SC" w:cs="Arial"/>
          <w:b/>
          <w:color w:val="1F4E79"/>
          <w:sz w:val="25"/>
        </w:rPr>
        <w:t>职业诚信与合作关系</w:t>
      </w:r>
    </w:p>
    <w:tbl>
      <w:tblPr>
        <w:tblStyle w:val="TableGrid"/>
        <w:tblW w:type="auto" w:w="0"/>
        <w:jc w:val="center"/>
        <w:tblLayout w:type="fixed"/>
        <w:tblLook w:firstColumn="1" w:firstRow="1" w:lastColumn="0" w:lastRow="0" w:noHBand="0" w:noVBand="1" w:val="04A0"/>
      </w:tblPr>
      <w:tblGrid>
        <w:gridCol w:w="3806"/>
        <w:gridCol w:w="3806"/>
        <w:gridCol w:w="3806"/>
        <w:gridCol w:w="3806"/>
        <w:gridCol w:w="3806"/>
        <w:gridCol w:w="3806"/>
      </w:tblGrid>
      <w:tr>
        <w:trPr>
          <w:tblHeader w:val="true"/>
        </w:trPr>
        <w:tc>
          <w:tcPr>
            <w:tcW w:type="dxa" w:w="482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维度与最终框架条款</w:t>
            </w:r>
          </w:p>
        </w:tc>
        <w:tc>
          <w:tcPr>
            <w:tcW w:type="dxa" w:w="3960"/>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职业守则证据（P）</w:t>
            </w:r>
          </w:p>
        </w:tc>
        <w:tc>
          <w:tcPr>
            <w:tcW w:type="dxa" w:w="4176"/>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AI/MT立场文件证据（A01–A10）</w:t>
            </w:r>
          </w:p>
        </w:tc>
        <w:tc>
          <w:tcPr>
            <w:tcW w:type="dxa" w:w="3671"/>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正式MT/技术标准证据</w:t>
            </w:r>
          </w:p>
        </w:tc>
        <w:tc>
          <w:tcPr>
            <w:tcW w:type="dxa" w:w="1800"/>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证据等级</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剩余缺口与论文处理</w:t>
            </w:r>
          </w:p>
        </w:tc>
      </w:tr>
      <w:tr>
        <w:trPr>
          <w:cantSplit w:val="false"/>
        </w:trPr>
        <w:tc>
          <w:tcPr>
            <w:tcW w:type="dxa" w:w="4824"/>
            <w:vAlign w:val="center"/>
            <w:tcMar>
              <w:top w:w="45" w:type="dxa"/>
              <w:start w:w="55" w:type="dxa"/>
              <w:bottom w:w="45" w:type="dxa"/>
              <w:end w:w="55" w:type="dxa"/>
            </w:tcMar>
            <w:shd w:fill="FCE4D6"/>
          </w:tcPr>
          <w:p>
            <w:pPr>
              <w:spacing w:before="0" w:after="0" w:line="240" w:lineRule="auto"/>
              <w:jc w:val="left"/>
            </w:pPr>
            <w:r/>
            <w:r>
              <w:rPr>
                <w:rFonts w:ascii="Arial" w:hAnsi="Arial" w:eastAsia="Noto Sans CJK SC" w:cs="Arial"/>
                <w:b/>
                <w:sz w:val="13"/>
              </w:rPr>
              <w:t>4. 诚信/职业操守</w:t>
            </w:r>
            <w:r>
              <w:br/>
            </w:r>
            <w:r>
              <w:rPr>
                <w:rFonts w:ascii="Arial" w:hAnsi="Arial" w:eastAsia="Noto Sans CJK SC" w:cs="Arial"/>
                <w:b/>
                <w:sz w:val="13"/>
              </w:rPr>
              <w:t>【最终条款】译员、机构和供应商均负有诚实义务，应真实说明资质、系统能力、AI参与和人工审核程度，不得以宣传或合同语言误导服务对象。</w:t>
            </w:r>
          </w:p>
        </w:tc>
        <w:tc>
          <w:tcPr>
            <w:tcW w:type="dxa" w:w="3960"/>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E03 AIIC《Code》2022，Art.4.2 Reserve（p.2-3）：第4.2条：审慎——协会会员不得接受任何可能有损本职业尊严的工作或处境，且不得从事任何可能使本职业蒙羞的行为。</w:t>
            </w:r>
            <w:r>
              <w:br/>
            </w:r>
            <w:r>
              <w:rPr>
                <w:rFonts w:ascii="Arial" w:hAnsi="Arial" w:eastAsia="Noto Sans CJK SC" w:cs="Arial"/>
                <w:b w:val="0"/>
                <w:sz w:val="13"/>
              </w:rPr>
              <w:t>E18 ASLIA《Code》，1.2.2 Professional Conduct（p.3）：从业者应认识到，无论是无偿还是有偿承担的工作，最终都将反映其个人及本职业的诚信水准。</w:t>
            </w:r>
          </w:p>
        </w:tc>
        <w:tc>
          <w:tcPr>
            <w:tcW w:type="dxa" w:w="41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A09 SAFE-AI口译指南，3.4.1 潜在危害示例（p.10-11）：部署AI口译产品可能对个人及群体造成的潜在伤害，可能包括但不限于因沟通错误、技术故障……及人为滥用AI工具所致的伤害。</w:t>
            </w:r>
            <w:r>
              <w:br/>
            </w:r>
            <w:r>
              <w:rPr>
                <w:rFonts w:ascii="Arial" w:hAnsi="Arial" w:eastAsia="Noto Sans CJK SC" w:cs="Arial"/>
                <w:b w:val="0"/>
                <w:sz w:val="13"/>
              </w:rPr>
              <w:t>A07 SFT AI立场文件，§13 人工译者是文化屏障与桥梁（p.4）：笔译员、译员与口译员以语境分析丰富其工作……深知其工作所涉及的意涵，他们也投入了自身的责任感、职业道德与个人敏感度。</w:t>
            </w:r>
          </w:p>
        </w:tc>
        <w:tc>
          <w:tcPr>
            <w:tcW w:type="dxa" w:w="3671"/>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邻接：E17 TAC 10—2024，7.2 宣传真实（p.6）：7.2 宣传真实：在机器翻译系统的推广过程中，厂商应保证宣传内容的真实性，避免过度夸大产品性能、误导用户，确保消费者充分了解系统的优点和局限性…</w:t>
            </w:r>
          </w:p>
        </w:tc>
        <w:tc>
          <w:tcPr>
            <w:tcW w:type="dxa" w:w="1800"/>
            <w:vAlign w:val="center"/>
            <w:tcMar>
              <w:top w:w="45" w:type="dxa"/>
              <w:start w:w="55" w:type="dxa"/>
              <w:bottom w:w="45" w:type="dxa"/>
              <w:end w:w="55" w:type="dxa"/>
            </w:tcMar>
            <w:shd w:fill="E2F0D9"/>
          </w:tcPr>
          <w:p>
            <w:pPr>
              <w:spacing w:before="0" w:after="0" w:line="240" w:lineRule="auto"/>
              <w:jc w:val="center"/>
            </w:pPr>
            <w:r/>
            <w:r>
              <w:rPr>
                <w:rFonts w:ascii="Arial" w:hAnsi="Arial" w:eastAsia="Noto Sans CJK SC" w:cs="Arial"/>
                <w:b/>
                <w:sz w:val="14"/>
              </w:rPr>
              <w:t>A2</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职业守则与立场文件直接支持；TAC/ISO仅作补充或无直接规定，不应把立场文件等同正式标准。</w:t>
            </w:r>
          </w:p>
        </w:tc>
      </w:tr>
      <w:tr>
        <w:trPr>
          <w:cantSplit w:val="false"/>
        </w:trPr>
        <w:tc>
          <w:tcPr>
            <w:tcW w:type="dxa" w:w="4824"/>
            <w:vAlign w:val="center"/>
            <w:tcMar>
              <w:top w:w="45" w:type="dxa"/>
              <w:start w:w="55" w:type="dxa"/>
              <w:bottom w:w="45" w:type="dxa"/>
              <w:end w:w="55" w:type="dxa"/>
            </w:tcMar>
            <w:shd w:fill="FCE4D6"/>
          </w:tcPr>
          <w:p>
            <w:pPr>
              <w:spacing w:before="0" w:after="0" w:line="240" w:lineRule="auto"/>
              <w:jc w:val="left"/>
            </w:pPr>
            <w:r/>
            <w:r>
              <w:rPr>
                <w:rFonts w:ascii="Arial" w:hAnsi="Arial" w:eastAsia="Noto Sans CJK SC" w:cs="Arial"/>
                <w:b/>
                <w:sz w:val="13"/>
              </w:rPr>
              <w:t>6. 合同/承诺遵守</w:t>
            </w:r>
            <w:r>
              <w:br/>
            </w:r>
            <w:r>
              <w:rPr>
                <w:rFonts w:ascii="Arial" w:hAnsi="Arial" w:eastAsia="Noto Sans CJK SC" w:cs="Arial"/>
                <w:b/>
                <w:sz w:val="13"/>
              </w:rPr>
              <w:t>【最终条款】任务开始前应明确AI参与、数据用途、录制留存、人工备援、故障处置和责任分配；重大变更须重新告知并取得必要同意。</w:t>
            </w:r>
          </w:p>
        </w:tc>
        <w:tc>
          <w:tcPr>
            <w:tcW w:type="dxa" w:w="3960"/>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E03 AIIC《Code》2022，Art.8A Acceptance（p.3）：第8A条：任务的接受——协会会员不得就同一时间段接受一份以上的合同。</w:t>
            </w:r>
            <w:r>
              <w:br/>
            </w:r>
            <w:r>
              <w:rPr>
                <w:rFonts w:ascii="Arial" w:hAnsi="Arial" w:eastAsia="Noto Sans CJK SC" w:cs="Arial"/>
                <w:b w:val="0"/>
                <w:sz w:val="13"/>
              </w:rPr>
              <w:t>E18 ASLIA《Code》，5.1.3 Business Practices（p.7）：从业者应恪守接受工作时所作出的专业承诺，并履行其义务。</w:t>
            </w:r>
          </w:p>
        </w:tc>
        <w:tc>
          <w:tcPr>
            <w:tcW w:type="dxa" w:w="417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邻接：A10 AUSIT AI立场文件，V 问责涉及合同法律责任（p.31-32）：问责制还指以法律意义承担笔译或口译服务责任的一方，通过服务提供方与终端用户间的合同协议确定……客户或终端用户必须能够获得关于该工具提供何种问责…</w:t>
            </w:r>
            <w:r>
              <w:br/>
            </w:r>
            <w:r>
              <w:rPr>
                <w:rFonts w:ascii="Arial" w:hAnsi="Arial" w:eastAsia="Noto Sans CJK SC" w:cs="Arial"/>
                <w:b w:val="0"/>
                <w:sz w:val="13"/>
              </w:rPr>
              <w:t>邻接：A09 SAFE-AI口译指南，3.1.2 采购与实施要素清单（p.5-6）：知情同意接受/拒绝流程……数据收集选择加入/退出……人工监督……合规性（须遵守HIPAA、FERPA、GDPR等联邦、州及地方法规）……评估与…</w:t>
            </w:r>
          </w:p>
        </w:tc>
        <w:tc>
          <w:tcPr>
            <w:tcW w:type="dxa" w:w="367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E17 TAC 10—2024，7.3 遵循行业规范（p.6）：7.3 遵循行业规范：在机器翻译系统的推广过程中，厂商应遵循相关行业标准和规范，确保市场推广、广告宣传和商业合作等的合法合规性。</w:t>
            </w:r>
            <w:r>
              <w:br/>
            </w:r>
            <w:r>
              <w:rPr>
                <w:rFonts w:ascii="Arial" w:hAnsi="Arial" w:eastAsia="Noto Sans CJK SC" w:cs="Arial"/>
                <w:b w:val="0"/>
                <w:sz w:val="13"/>
              </w:rPr>
              <w:t>E07 ISO 18587，4.2 Pre-production（p.5）：4.2 译前流程——TSP应与客户最终确定协议并保留该协议的记录。</w:t>
            </w:r>
          </w:p>
        </w:tc>
        <w:tc>
          <w:tcPr>
            <w:tcW w:type="dxa" w:w="1800"/>
            <w:vAlign w:val="center"/>
            <w:tcMar>
              <w:top w:w="45" w:type="dxa"/>
              <w:start w:w="55" w:type="dxa"/>
              <w:bottom w:w="45" w:type="dxa"/>
              <w:end w:w="55" w:type="dxa"/>
            </w:tcMar>
            <w:shd w:fill="FFF2CC"/>
          </w:tcPr>
          <w:p>
            <w:pPr>
              <w:spacing w:before="0" w:after="0" w:line="240" w:lineRule="auto"/>
              <w:jc w:val="center"/>
            </w:pPr>
            <w:r/>
            <w:r>
              <w:rPr>
                <w:rFonts w:ascii="Arial" w:hAnsi="Arial" w:eastAsia="Noto Sans CJK SC" w:cs="Arial"/>
                <w:b/>
                <w:sz w:val="14"/>
              </w:rPr>
              <w:t>B1</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AI立场文件多通过采购、披露与责任间接涉及合同；不宜声称已形成成熟的AI合同伦理。</w:t>
            </w:r>
          </w:p>
        </w:tc>
      </w:tr>
      <w:tr>
        <w:trPr>
          <w:cantSplit w:val="false"/>
        </w:trPr>
        <w:tc>
          <w:tcPr>
            <w:tcW w:type="dxa" w:w="4824"/>
            <w:vAlign w:val="center"/>
            <w:tcMar>
              <w:top w:w="45" w:type="dxa"/>
              <w:start w:w="55" w:type="dxa"/>
              <w:bottom w:w="45" w:type="dxa"/>
              <w:end w:w="55" w:type="dxa"/>
            </w:tcMar>
            <w:shd w:fill="FCE4D6"/>
          </w:tcPr>
          <w:p>
            <w:pPr>
              <w:spacing w:before="0" w:after="0" w:line="240" w:lineRule="auto"/>
              <w:jc w:val="left"/>
            </w:pPr>
            <w:r/>
            <w:r>
              <w:rPr>
                <w:rFonts w:ascii="Arial" w:hAnsi="Arial" w:eastAsia="Noto Sans CJK SC" w:cs="Arial"/>
                <w:b/>
                <w:sz w:val="13"/>
              </w:rPr>
              <w:t>14. 同业团结/合作</w:t>
            </w:r>
            <w:r>
              <w:br/>
            </w:r>
            <w:r>
              <w:rPr>
                <w:rFonts w:ascii="Arial" w:hAnsi="Arial" w:eastAsia="Noto Sans CJK SC" w:cs="Arial"/>
                <w:b/>
                <w:sz w:val="13"/>
              </w:rPr>
              <w:t>【最终条款】人机协作口译应维护公平、互助和可持续的职业共同体，鼓励共享安全经验，同时允许对低质量和不当行为进行监督与报告。</w:t>
            </w:r>
          </w:p>
        </w:tc>
        <w:tc>
          <w:tcPr>
            <w:tcW w:type="dxa" w:w="3960"/>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E03 AIIC《Code》2022，Art.7 Collegiality（p.3）：第7条：同僚情谊——协会会员有责任对同行给予道义协助和同僚情谊。</w:t>
            </w:r>
            <w:r>
              <w:br/>
            </w:r>
            <w:r>
              <w:rPr>
                <w:rFonts w:ascii="Arial" w:hAnsi="Arial" w:eastAsia="Noto Sans CJK SC" w:cs="Arial"/>
                <w:b w:val="0"/>
                <w:sz w:val="13"/>
              </w:rPr>
              <w:t>E18 ASLIA《Code》，4.3.1 Respect for Colleagues（p.6）：从业者应本着相互合作的精神对待同事，以尊重、礼貌、公正与诚信的态度对待并向他人描述同事。</w:t>
            </w:r>
          </w:p>
        </w:tc>
        <w:tc>
          <w:tcPr>
            <w:tcW w:type="dxa" w:w="41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A07 SFT AI立场文件，§30 鼓励尊重译者的机构，呼吁大型代理机构协作（p.7）：我们鼓励对独立笔译员、译员与口译员采取尊重做法的翻译机构继续坚持这一方向。</w:t>
            </w:r>
            <w:r>
              <w:br/>
            </w:r>
            <w:r>
              <w:rPr>
                <w:rFonts w:ascii="Arial" w:hAnsi="Arial" w:eastAsia="Noto Sans CJK SC" w:cs="Arial"/>
                <w:b w:val="0"/>
                <w:sz w:val="13"/>
              </w:rPr>
              <w:t>A04 FIT MT立场文件，§27 译者协会应引领质量标准（p.6-7）：译者协会在引领本行业度过这一变革时期中扮演重要角色。</w:t>
            </w:r>
          </w:p>
        </w:tc>
        <w:tc>
          <w:tcPr>
            <w:tcW w:type="dxa" w:w="3671"/>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E17 TAC 10—2024，7.1 公平竞争（p.6）：7.1 公平竞争：在机器翻译系统的推广过程中，厂商应秉持公平竞争原则，遵守市场规则，杜绝诋毁竞争对手、恶意压价等不正当竞争行为。</w:t>
            </w:r>
          </w:p>
        </w:tc>
        <w:tc>
          <w:tcPr>
            <w:tcW w:type="dxa" w:w="1800"/>
            <w:vAlign w:val="center"/>
            <w:tcMar>
              <w:top w:w="45" w:type="dxa"/>
              <w:start w:w="55" w:type="dxa"/>
              <w:bottom w:w="45" w:type="dxa"/>
              <w:end w:w="55" w:type="dxa"/>
            </w:tcMar>
            <w:shd w:fill="C6E0B4"/>
          </w:tcPr>
          <w:p>
            <w:pPr>
              <w:spacing w:before="0" w:after="0" w:line="240" w:lineRule="auto"/>
              <w:jc w:val="center"/>
            </w:pPr>
            <w:r/>
            <w:r>
              <w:rPr>
                <w:rFonts w:ascii="Arial" w:hAnsi="Arial" w:eastAsia="Noto Sans CJK SC" w:cs="Arial"/>
                <w:b/>
                <w:sz w:val="14"/>
              </w:rPr>
              <w:t>A1</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三类证据相互支撑；仍需在正文中区分文件效力、适用范围与口译情境化后的改写。</w:t>
            </w:r>
          </w:p>
        </w:tc>
      </w:tr>
      <w:tr>
        <w:trPr>
          <w:cantSplit w:val="false"/>
        </w:trPr>
        <w:tc>
          <w:tcPr>
            <w:tcW w:type="dxa" w:w="4824"/>
            <w:vAlign w:val="center"/>
            <w:tcMar>
              <w:top w:w="45" w:type="dxa"/>
              <w:start w:w="55" w:type="dxa"/>
              <w:bottom w:w="45" w:type="dxa"/>
              <w:end w:w="55" w:type="dxa"/>
            </w:tcMar>
            <w:shd w:fill="FCE4D6"/>
          </w:tcPr>
          <w:p>
            <w:pPr>
              <w:spacing w:before="0" w:after="0" w:line="240" w:lineRule="auto"/>
              <w:jc w:val="left"/>
            </w:pPr>
            <w:r/>
            <w:r>
              <w:rPr>
                <w:rFonts w:ascii="Arial" w:hAnsi="Arial" w:eastAsia="Noto Sans CJK SC" w:cs="Arial"/>
                <w:b/>
                <w:sz w:val="13"/>
              </w:rPr>
              <w:t>15. 利益冲突披露</w:t>
            </w:r>
            <w:r>
              <w:br/>
            </w:r>
            <w:r>
              <w:rPr>
                <w:rFonts w:ascii="Arial" w:hAnsi="Arial" w:eastAsia="Noto Sans CJK SC" w:cs="Arial"/>
                <w:b/>
                <w:sz w:val="13"/>
              </w:rPr>
              <w:t>【最终条款】任何可能影响技术选择、供应商推荐或专业判断的重大利益关联均应披露、管理或回避；机构须保证采购和评估的独立性。</w:t>
            </w:r>
          </w:p>
        </w:tc>
        <w:tc>
          <w:tcPr>
            <w:tcW w:type="dxa" w:w="3960"/>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E18 ASLIA《Code》，1.2.5 Professional Conduct（p.3）：从业者须留意可能妨碍其工作成效的个人情况或利益冲突，并应避免可能导致服务质量不达标和/或对任何人（包括自身及参与者）造成伤害的行为。</w:t>
            </w:r>
            <w:r>
              <w:br/>
            </w:r>
            <w:r>
              <w:rPr>
                <w:rFonts w:ascii="Arial" w:hAnsi="Arial" w:eastAsia="Noto Sans CJK SC" w:cs="Arial"/>
                <w:b w:val="0"/>
                <w:sz w:val="13"/>
              </w:rPr>
              <w:t>E15 NAIE教育口译守则，Tenet6(b)（p.3）：口译员就因实际或潜在利益冲突而影响其为学生提供有效传译能力的情形，及时以书面形式告知学生IEP或504计划协调员。</w:t>
            </w:r>
          </w:p>
        </w:tc>
        <w:tc>
          <w:tcPr>
            <w:tcW w:type="dxa" w:w="417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邻接：A08 CIOL AI Voices 2025，GCHQ专家译者 §3 专业知识指引技术发展方向（p.3）：我们的专业知识有助于引导语言技术的开发方向。</w:t>
            </w:r>
          </w:p>
        </w:tc>
        <w:tc>
          <w:tcPr>
            <w:tcW w:type="dxa" w:w="367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邻接：E17 TAC 10—2024，6.2.1 数据隐私与保护（p.5-6）：在机器翻译的数据采集、训练、评测和应用过程中，应重视利益相关者的数据隐私和保护，防止未经授权的访问、泄露或滥用。</w:t>
            </w:r>
          </w:p>
        </w:tc>
        <w:tc>
          <w:tcPr>
            <w:tcW w:type="dxa" w:w="1800"/>
            <w:vAlign w:val="center"/>
            <w:tcMar>
              <w:top w:w="45" w:type="dxa"/>
              <w:start w:w="55" w:type="dxa"/>
              <w:bottom w:w="45" w:type="dxa"/>
              <w:end w:w="55" w:type="dxa"/>
            </w:tcMar>
            <w:shd w:fill="F4CCCC"/>
          </w:tcPr>
          <w:p>
            <w:pPr>
              <w:spacing w:before="0" w:after="0" w:line="240" w:lineRule="auto"/>
              <w:jc w:val="center"/>
            </w:pPr>
            <w:r/>
            <w:r>
              <w:rPr>
                <w:rFonts w:ascii="Arial" w:hAnsi="Arial" w:eastAsia="Noto Sans CJK SC" w:cs="Arial"/>
                <w:b/>
                <w:sz w:val="14"/>
              </w:rPr>
              <w:t>C1</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AI立场文件直接讨论较少；从个人利益冲突迁移到供应商采购冲突，属于研究者的制度化扩展。</w:t>
            </w:r>
          </w:p>
        </w:tc>
      </w:tr>
      <w:tr>
        <w:trPr>
          <w:cantSplit w:val="false"/>
        </w:trPr>
        <w:tc>
          <w:tcPr>
            <w:tcW w:type="dxa" w:w="4824"/>
            <w:vAlign w:val="center"/>
            <w:tcMar>
              <w:top w:w="45" w:type="dxa"/>
              <w:start w:w="55" w:type="dxa"/>
              <w:bottom w:w="45" w:type="dxa"/>
              <w:end w:w="55" w:type="dxa"/>
            </w:tcMar>
            <w:shd w:fill="FCE4D6"/>
          </w:tcPr>
          <w:p>
            <w:pPr>
              <w:spacing w:before="0" w:after="0" w:line="240" w:lineRule="auto"/>
              <w:jc w:val="left"/>
            </w:pPr>
            <w:r/>
            <w:r>
              <w:rPr>
                <w:rFonts w:ascii="Arial" w:hAnsi="Arial" w:eastAsia="Noto Sans CJK SC" w:cs="Arial"/>
                <w:b/>
                <w:sz w:val="13"/>
              </w:rPr>
              <w:t>28. 跨专业协作</w:t>
            </w:r>
            <w:r>
              <w:br/>
            </w:r>
            <w:r>
              <w:rPr>
                <w:rFonts w:ascii="Arial" w:hAnsi="Arial" w:eastAsia="Noto Sans CJK SC" w:cs="Arial"/>
                <w:b/>
                <w:sz w:val="13"/>
              </w:rPr>
              <w:t>【最终条款】高风险人机口译应由口译、技术、法律和领域专业人员协同治理；协作须同时满足角色清晰、最小信息共享和责任可追溯。</w:t>
            </w:r>
          </w:p>
        </w:tc>
        <w:tc>
          <w:tcPr>
            <w:tcW w:type="dxa" w:w="3960"/>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E15 NAIE教育口译守则，Tenet4(b)（p.3）：口译员向IEP或504团队反馈与语言、交流及可及性相关的观察与关切。</w:t>
            </w:r>
          </w:p>
        </w:tc>
        <w:tc>
          <w:tcPr>
            <w:tcW w:type="dxa" w:w="41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A08 CIOL AI Voices 2025，John Worne(CIOL CEO)§1 语言学家应参与塑造AI（p.2）：作为语言专业人士，我们正处于一个仿佛十字路口的时刻……是否应暂停与语言相关的AI开发这一问题发人深省，但暂停令恐怕既不现实也难以实现。</w:t>
            </w:r>
            <w:r>
              <w:br/>
            </w:r>
            <w:r>
              <w:rPr>
                <w:rFonts w:ascii="Arial" w:hAnsi="Arial" w:eastAsia="Noto Sans CJK SC" w:cs="Arial"/>
                <w:b w:val="0"/>
                <w:sz w:val="13"/>
              </w:rPr>
              <w:t>A06 AVTE MT宣言，六、展望：呼吁持续对话与研究，反对单纯削减成本（p.16）：为此，各利益相关方之间持续的对话至关重要……我们也鼓励对MT的质量、认知努力、心理健康与工作满意度等方面开展更多研究……基于对MT技术的浅层理…</w:t>
            </w:r>
          </w:p>
        </w:tc>
        <w:tc>
          <w:tcPr>
            <w:tcW w:type="dxa" w:w="3671"/>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邻接：E17 TAC 10—2024，8.3 人机协作与责任界定（p.7）：8.3 人机协作与责任界定：厂商应明确机器翻译系统与人在复杂应用场景中的责任边界，倡导人机协作，保障翻译质量，遵守道德规范。</w:t>
            </w:r>
          </w:p>
        </w:tc>
        <w:tc>
          <w:tcPr>
            <w:tcW w:type="dxa" w:w="1800"/>
            <w:vAlign w:val="center"/>
            <w:tcMar>
              <w:top w:w="45" w:type="dxa"/>
              <w:start w:w="55" w:type="dxa"/>
              <w:bottom w:w="45" w:type="dxa"/>
              <w:end w:w="55" w:type="dxa"/>
            </w:tcMar>
            <w:shd w:fill="E2F0D9"/>
          </w:tcPr>
          <w:p>
            <w:pPr>
              <w:spacing w:before="0" w:after="0" w:line="240" w:lineRule="auto"/>
              <w:jc w:val="center"/>
            </w:pPr>
            <w:r/>
            <w:r>
              <w:rPr>
                <w:rFonts w:ascii="Arial" w:hAnsi="Arial" w:eastAsia="Noto Sans CJK SC" w:cs="Arial"/>
                <w:b/>
                <w:sz w:val="14"/>
              </w:rPr>
              <w:t>A2</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职业守则与立场文件直接支持；TAC/ISO仅作补充或无直接规定，不应把立场文件等同正式标准。</w:t>
            </w:r>
          </w:p>
        </w:tc>
      </w:tr>
    </w:tbl>
    <w:p>
      <w:pPr>
        <w:spacing w:before="0" w:after="20" w:line="252" w:lineRule="auto"/>
      </w:pPr>
      <w:r>
        <w:rPr>
          <w:rFonts w:ascii="Arial" w:hAnsi="Arial" w:eastAsia="Noto Sans CJK SC" w:cs="Arial"/>
          <w:b w:val="0"/>
          <w:sz w:val="4"/>
        </w:rPr>
      </w:r>
    </w:p>
    <w:p>
      <w:pPr>
        <w:spacing w:before="80" w:after="60" w:line="252" w:lineRule="auto"/>
      </w:pPr>
      <w:r>
        <w:rPr>
          <w:rFonts w:ascii="Arial" w:hAnsi="Arial" w:eastAsia="Noto Sans CJK SC" w:cs="Arial"/>
          <w:b/>
          <w:color w:val="1F4E79"/>
          <w:sz w:val="25"/>
        </w:rPr>
        <w:t>正义、权利与公平参与</w:t>
      </w:r>
    </w:p>
    <w:tbl>
      <w:tblPr>
        <w:tblStyle w:val="TableGrid"/>
        <w:tblW w:type="auto" w:w="0"/>
        <w:jc w:val="center"/>
        <w:tblLayout w:type="fixed"/>
        <w:tblLook w:firstColumn="1" w:firstRow="1" w:lastColumn="0" w:lastRow="0" w:noHBand="0" w:noVBand="1" w:val="04A0"/>
      </w:tblPr>
      <w:tblGrid>
        <w:gridCol w:w="3806"/>
        <w:gridCol w:w="3806"/>
        <w:gridCol w:w="3806"/>
        <w:gridCol w:w="3806"/>
        <w:gridCol w:w="3806"/>
        <w:gridCol w:w="3806"/>
      </w:tblGrid>
      <w:tr>
        <w:trPr>
          <w:tblHeader w:val="true"/>
        </w:trPr>
        <w:tc>
          <w:tcPr>
            <w:tcW w:type="dxa" w:w="482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维度与最终框架条款</w:t>
            </w:r>
          </w:p>
        </w:tc>
        <w:tc>
          <w:tcPr>
            <w:tcW w:type="dxa" w:w="3960"/>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职业守则证据（P）</w:t>
            </w:r>
          </w:p>
        </w:tc>
        <w:tc>
          <w:tcPr>
            <w:tcW w:type="dxa" w:w="4176"/>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AI/MT立场文件证据（A01–A10）</w:t>
            </w:r>
          </w:p>
        </w:tc>
        <w:tc>
          <w:tcPr>
            <w:tcW w:type="dxa" w:w="3671"/>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正式MT/技术标准证据</w:t>
            </w:r>
          </w:p>
        </w:tc>
        <w:tc>
          <w:tcPr>
            <w:tcW w:type="dxa" w:w="1800"/>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证据等级</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剩余缺口与论文处理</w:t>
            </w:r>
          </w:p>
        </w:tc>
      </w:tr>
      <w:tr>
        <w:trPr>
          <w:cantSplit w:val="false"/>
        </w:trPr>
        <w:tc>
          <w:tcPr>
            <w:tcW w:type="dxa" w:w="4824"/>
            <w:vAlign w:val="center"/>
            <w:tcMar>
              <w:top w:w="45" w:type="dxa"/>
              <w:start w:w="55" w:type="dxa"/>
              <w:bottom w:w="45" w:type="dxa"/>
              <w:end w:w="55" w:type="dxa"/>
            </w:tcMar>
            <w:shd w:fill="FFF2CC"/>
          </w:tcPr>
          <w:p>
            <w:pPr>
              <w:spacing w:before="0" w:after="0" w:line="240" w:lineRule="auto"/>
              <w:jc w:val="left"/>
            </w:pPr>
            <w:r/>
            <w:r>
              <w:rPr>
                <w:rFonts w:ascii="Arial" w:hAnsi="Arial" w:eastAsia="Noto Sans CJK SC" w:cs="Arial"/>
                <w:b/>
                <w:sz w:val="13"/>
              </w:rPr>
              <w:t>7. 公平/中立</w:t>
            </w:r>
            <w:r>
              <w:br/>
            </w:r>
            <w:r>
              <w:rPr>
                <w:rFonts w:ascii="Arial" w:hAnsi="Arial" w:eastAsia="Noto Sans CJK SC" w:cs="Arial"/>
                <w:b/>
                <w:sz w:val="13"/>
              </w:rPr>
              <w:t>【最终条款】人机口译应保障各方程序性平等；人类偏袒与算法偏差均须被预防、识别、纠正并允许申诉。</w:t>
            </w:r>
          </w:p>
        </w:tc>
        <w:tc>
          <w:tcPr>
            <w:tcW w:type="dxa" w:w="3960"/>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E18 ASLIA《Code》，3.1.1 Non-discrimination（p.5）：从业者应尊重服务对象的个体性、自决权及自主性，不得基于族裔、性别、年龄、残疾、性取向、宗教、个人信仰与习俗、社会地位或其他任何因素进行歧视。</w:t>
            </w:r>
            <w:r>
              <w:br/>
            </w:r>
            <w:r>
              <w:rPr>
                <w:rFonts w:ascii="Arial" w:hAnsi="Arial" w:eastAsia="Noto Sans CJK SC" w:cs="Arial"/>
                <w:b w:val="0"/>
                <w:sz w:val="13"/>
              </w:rPr>
              <w:t>E06 HIN社区口译标准，LITP Std.11 Impartiality（p.25）：口译员始终保持公正，并告知各方其负有保持公正的义务。</w:t>
            </w:r>
          </w:p>
        </w:tc>
        <w:tc>
          <w:tcPr>
            <w:tcW w:type="dxa" w:w="41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A09 SAFE-AI口译指南，3.2.1 公平原则国际适用（p.7）：公平原则具有国际适用性，确保处于不利地位的个人获得额外且充分的补偿性支持，以获得并受益于与处于有利地位者同等标准的服务。</w:t>
            </w:r>
            <w:r>
              <w:br/>
            </w:r>
            <w:r>
              <w:rPr>
                <w:rFonts w:ascii="Arial" w:hAnsi="Arial" w:eastAsia="Noto Sans CJK SC" w:cs="Arial"/>
                <w:b w:val="0"/>
                <w:sz w:val="13"/>
              </w:rPr>
              <w:t>A05 AVTE生成式AI声明，§29 伦理标准(3)：反对按体裁差别对待翻译质量（p.5）：有人提议一种折中方案，即将视听机器翻译限定于低俗娱乐内容……而高水准作品仍由资深语言专家处理……CEATL曾警告不应将某些书籍体裁视为"不那么…</w:t>
            </w:r>
          </w:p>
        </w:tc>
        <w:tc>
          <w:tcPr>
            <w:tcW w:type="dxa" w:w="3671"/>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邻接：E17 TAC 10—2024，4.2 公平公正（p.4）：4.2 公平公正：机器翻译系统应关注数据与算法的公平性，避免歧视与偏见，确保不同语言和文化得到平等对待。</w:t>
            </w:r>
          </w:p>
        </w:tc>
        <w:tc>
          <w:tcPr>
            <w:tcW w:type="dxa" w:w="1800"/>
            <w:vAlign w:val="center"/>
            <w:tcMar>
              <w:top w:w="45" w:type="dxa"/>
              <w:start w:w="55" w:type="dxa"/>
              <w:bottom w:w="45" w:type="dxa"/>
              <w:end w:w="55" w:type="dxa"/>
            </w:tcMar>
            <w:shd w:fill="E2F0D9"/>
          </w:tcPr>
          <w:p>
            <w:pPr>
              <w:spacing w:before="0" w:after="0" w:line="240" w:lineRule="auto"/>
              <w:jc w:val="center"/>
            </w:pPr>
            <w:r/>
            <w:r>
              <w:rPr>
                <w:rFonts w:ascii="Arial" w:hAnsi="Arial" w:eastAsia="Noto Sans CJK SC" w:cs="Arial"/>
                <w:b/>
                <w:sz w:val="14"/>
              </w:rPr>
              <w:t>A2</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职业守则与立场文件直接支持；TAC/ISO仅作补充或无直接规定，不应把立场文件等同正式标准。</w:t>
            </w:r>
          </w:p>
        </w:tc>
      </w:tr>
      <w:tr>
        <w:trPr>
          <w:cantSplit w:val="false"/>
        </w:trPr>
        <w:tc>
          <w:tcPr>
            <w:tcW w:type="dxa" w:w="4824"/>
            <w:vAlign w:val="center"/>
            <w:tcMar>
              <w:top w:w="45" w:type="dxa"/>
              <w:start w:w="55" w:type="dxa"/>
              <w:bottom w:w="45" w:type="dxa"/>
              <w:end w:w="55" w:type="dxa"/>
            </w:tcMar>
            <w:shd w:fill="FFF2CC"/>
          </w:tcPr>
          <w:p>
            <w:pPr>
              <w:spacing w:before="0" w:after="0" w:line="240" w:lineRule="auto"/>
              <w:jc w:val="left"/>
            </w:pPr>
            <w:r/>
            <w:r>
              <w:rPr>
                <w:rFonts w:ascii="Arial" w:hAnsi="Arial" w:eastAsia="Noto Sans CJK SC" w:cs="Arial"/>
                <w:b/>
                <w:sz w:val="13"/>
              </w:rPr>
              <w:t>17. 知识产权保护</w:t>
            </w:r>
            <w:r>
              <w:br/>
            </w:r>
            <w:r>
              <w:rPr>
                <w:rFonts w:ascii="Arial" w:hAnsi="Arial" w:eastAsia="Noto Sans CJK SC" w:cs="Arial"/>
                <w:b/>
                <w:sz w:val="13"/>
              </w:rPr>
              <w:t>【最终条款】人机口译使用的作品、语料和数据须具有合法授权与可追踪来源；知识产权合规不得替代隐私和知情同意审查。</w:t>
            </w:r>
          </w:p>
        </w:tc>
        <w:tc>
          <w:tcPr>
            <w:tcW w:type="dxa" w:w="3960"/>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E02 AUSIT《Code of Ethics》，筆譯 T10（p.14）：T10：在涉及版權事務領域工作的專業筆譯員努力遵循聯合國教科文組織《奈洛比宣言》中關於翻譯人員和翻譯文本的法律保護以及FIT翻譯人員章程（見F…</w:t>
            </w:r>
            <w:r>
              <w:br/>
            </w:r>
            <w:r>
              <w:rPr>
                <w:rFonts w:ascii="Arial" w:hAnsi="Arial" w:eastAsia="Noto Sans CJK SC" w:cs="Arial"/>
                <w:b w:val="0"/>
                <w:sz w:val="13"/>
              </w:rPr>
              <w:t>E09 ICTY《Code》，Art.7§1(c) Confidentiality（IT/144 Art.7）：第7条第1款(c)：已翻译文件始终归法庭所有，口译员和笔译员未经其主管明确许可或法庭命令，不得向第三方展示或提供。</w:t>
            </w:r>
          </w:p>
        </w:tc>
        <w:tc>
          <w:tcPr>
            <w:tcW w:type="dxa" w:w="417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A07 SFT AI立场文件，§15 警示：翻译作品受著作权保护（p.5）：翻译（无论是文学性还是实用性的）是一种精神创作。</w:t>
            </w:r>
            <w:r>
              <w:br/>
            </w:r>
            <w:r>
              <w:rPr>
                <w:rFonts w:ascii="Arial" w:hAnsi="Arial" w:eastAsia="Noto Sans CJK SC" w:cs="Arial"/>
                <w:b w:val="0"/>
                <w:sz w:val="13"/>
              </w:rPr>
              <w:t>A04 FIT MT立场文件，§24 伦理与环境考量：数据训练伦理问题（p.6）：AI在翻译中的兴起带来了新的伦理挑战。</w:t>
            </w:r>
          </w:p>
        </w:tc>
        <w:tc>
          <w:tcPr>
            <w:tcW w:type="dxa" w:w="367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E17 TAC 10—2024，6.2.2 数据来源合规性（p.6）：6.2.2 数据来源合规性：在机器翻译的数据采集、训练、评测和应用过程中，应确保数据来源合法合规、处理方法妥当、使用范围明确，充分尊重数据制造…</w:t>
            </w:r>
          </w:p>
        </w:tc>
        <w:tc>
          <w:tcPr>
            <w:tcW w:type="dxa" w:w="1800"/>
            <w:vAlign w:val="center"/>
            <w:tcMar>
              <w:top w:w="45" w:type="dxa"/>
              <w:start w:w="55" w:type="dxa"/>
              <w:bottom w:w="45" w:type="dxa"/>
              <w:end w:w="55" w:type="dxa"/>
            </w:tcMar>
            <w:shd w:fill="C6E0B4"/>
          </w:tcPr>
          <w:p>
            <w:pPr>
              <w:spacing w:before="0" w:after="0" w:line="240" w:lineRule="auto"/>
              <w:jc w:val="center"/>
            </w:pPr>
            <w:r/>
            <w:r>
              <w:rPr>
                <w:rFonts w:ascii="Arial" w:hAnsi="Arial" w:eastAsia="Noto Sans CJK SC" w:cs="Arial"/>
                <w:b/>
                <w:sz w:val="14"/>
              </w:rPr>
              <w:t>A1</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三类证据相互支撑；仍需在正文中区分文件效力、适用范围与口译情境化后的改写。</w:t>
            </w:r>
          </w:p>
        </w:tc>
      </w:tr>
      <w:tr>
        <w:trPr>
          <w:cantSplit w:val="false"/>
        </w:trPr>
        <w:tc>
          <w:tcPr>
            <w:tcW w:type="dxa" w:w="4824"/>
            <w:vAlign w:val="center"/>
            <w:tcMar>
              <w:top w:w="45" w:type="dxa"/>
              <w:start w:w="55" w:type="dxa"/>
              <w:bottom w:w="45" w:type="dxa"/>
              <w:end w:w="55" w:type="dxa"/>
            </w:tcMar>
            <w:shd w:fill="FFF2CC"/>
          </w:tcPr>
          <w:p>
            <w:pPr>
              <w:spacing w:before="0" w:after="0" w:line="240" w:lineRule="auto"/>
              <w:jc w:val="left"/>
            </w:pPr>
            <w:r/>
            <w:r>
              <w:rPr>
                <w:rFonts w:ascii="Arial" w:hAnsi="Arial" w:eastAsia="Noto Sans CJK SC" w:cs="Arial"/>
                <w:b/>
                <w:sz w:val="13"/>
              </w:rPr>
              <w:t>20. 公平报酬</w:t>
            </w:r>
            <w:r>
              <w:br/>
            </w:r>
            <w:r>
              <w:rPr>
                <w:rFonts w:ascii="Arial" w:hAnsi="Arial" w:eastAsia="Noto Sans CJK SC" w:cs="Arial"/>
                <w:b/>
                <w:sz w:val="13"/>
              </w:rPr>
              <w:t>【最终条款】技术应用不得损害译员获得合理报酬、署名和劳动尊严；采购与定价应计入人工准备、监督、纠错和责任成本。</w:t>
            </w:r>
          </w:p>
        </w:tc>
        <w:tc>
          <w:tcPr>
            <w:tcW w:type="dxa" w:w="3960"/>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E12 BDÜ《Code》2025，相关条款（2.5/S.3）：BDÜ会员的报酬要求须始终合理，不得以不正当方式压低至合理报酬以下，包括通过含糊报价或虚假陈述自身能力而误导委托方。</w:t>
            </w:r>
            <w:r>
              <w:br/>
            </w:r>
            <w:r>
              <w:rPr>
                <w:rFonts w:ascii="Arial" w:hAnsi="Arial" w:eastAsia="Noto Sans CJK SC" w:cs="Arial"/>
                <w:b w:val="0"/>
                <w:sz w:val="13"/>
              </w:rPr>
              <w:t>E04 FIT《Translator’s Charter》，Art.8（p.1）：第8条：译者在执业过程中不得从事任何不正当竞争；特别是应力求获得公平的报酬，且不得接受低于法律法规所规定标准的费用。</w:t>
            </w:r>
          </w:p>
        </w:tc>
        <w:tc>
          <w:tcPr>
            <w:tcW w:type="dxa" w:w="41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A07 SFT AI立场文件，§28 要求公平分享价值（p.7）：SFT要求公平分享语言服务所创造的价值。</w:t>
            </w:r>
            <w:r>
              <w:br/>
            </w:r>
            <w:r>
              <w:rPr>
                <w:rFonts w:ascii="Arial" w:hAnsi="Arial" w:eastAsia="Noto Sans CJK SC" w:cs="Arial"/>
                <w:b w:val="0"/>
                <w:sz w:val="13"/>
              </w:rPr>
              <w:t>A08 CIOL AI Voices 2025，Vasiliki Prestidge §2 应有信心并为价值收费（p.7）：译者所带来的独特价值，远不止于语言间的文本转换……凸显出客户单凭AI无法察觉的声誉与文化风险。</w:t>
            </w:r>
          </w:p>
        </w:tc>
        <w:tc>
          <w:tcPr>
            <w:tcW w:type="dxa" w:w="3671"/>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E17 TAC 10—2024，8.1 合理收费（p.7）：8.1 合理收费：厂商应根据行业定价惯例或规范设定合理的收费标准，维护良好的市场秩序。</w:t>
            </w:r>
          </w:p>
        </w:tc>
        <w:tc>
          <w:tcPr>
            <w:tcW w:type="dxa" w:w="1800"/>
            <w:vAlign w:val="center"/>
            <w:tcMar>
              <w:top w:w="45" w:type="dxa"/>
              <w:start w:w="55" w:type="dxa"/>
              <w:bottom w:w="45" w:type="dxa"/>
              <w:end w:w="55" w:type="dxa"/>
            </w:tcMar>
            <w:shd w:fill="C6E0B4"/>
          </w:tcPr>
          <w:p>
            <w:pPr>
              <w:spacing w:before="0" w:after="0" w:line="240" w:lineRule="auto"/>
              <w:jc w:val="center"/>
            </w:pPr>
            <w:r/>
            <w:r>
              <w:rPr>
                <w:rFonts w:ascii="Arial" w:hAnsi="Arial" w:eastAsia="Noto Sans CJK SC" w:cs="Arial"/>
                <w:b/>
                <w:sz w:val="14"/>
              </w:rPr>
              <w:t>A1</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AI证据主要来自笔译/视听翻译劳动关系；迁移到口译时应聚焦准备、监控、待命和责任劳动。</w:t>
            </w:r>
          </w:p>
        </w:tc>
      </w:tr>
      <w:tr>
        <w:trPr>
          <w:cantSplit w:val="false"/>
        </w:trPr>
        <w:tc>
          <w:tcPr>
            <w:tcW w:type="dxa" w:w="4824"/>
            <w:vAlign w:val="center"/>
            <w:tcMar>
              <w:top w:w="45" w:type="dxa"/>
              <w:start w:w="55" w:type="dxa"/>
              <w:bottom w:w="45" w:type="dxa"/>
              <w:end w:w="55" w:type="dxa"/>
            </w:tcMar>
            <w:shd w:fill="FFF2CC"/>
          </w:tcPr>
          <w:p>
            <w:pPr>
              <w:spacing w:before="0" w:after="0" w:line="240" w:lineRule="auto"/>
              <w:jc w:val="left"/>
            </w:pPr>
            <w:r/>
            <w:r>
              <w:rPr>
                <w:rFonts w:ascii="Arial" w:hAnsi="Arial" w:eastAsia="Noto Sans CJK SC" w:cs="Arial"/>
                <w:b/>
                <w:sz w:val="13"/>
              </w:rPr>
              <w:t>22. 算法公平</w:t>
            </w:r>
            <w:r>
              <w:br/>
            </w:r>
            <w:r>
              <w:rPr>
                <w:rFonts w:ascii="Arial" w:hAnsi="Arial" w:eastAsia="Noto Sans CJK SC" w:cs="Arial"/>
                <w:b/>
                <w:sz w:val="13"/>
              </w:rPr>
              <w:t>【最终条款】系统应持续评估和缓解不同语言、口音、文化和群体间的差异性风险；重大偏差应披露、纠正并提供替代和申诉。</w:t>
            </w:r>
          </w:p>
        </w:tc>
        <w:tc>
          <w:tcPr>
            <w:tcW w:type="dxa" w:w="3960"/>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邻接：E18 ASLIA《Code》，核心价值 1-5 (框架性)（p.2）：1.专业问责：为专业决定与行为承担责任。</w:t>
            </w:r>
            <w:r>
              <w:br/>
            </w:r>
            <w:r>
              <w:rPr>
                <w:rFonts w:ascii="Arial" w:hAnsi="Arial" w:eastAsia="Noto Sans CJK SC" w:cs="Arial"/>
                <w:b w:val="0"/>
                <w:sz w:val="13"/>
              </w:rPr>
              <w:t>邻接：E15 NAIE教育口译守则，Tenet1(g)（p.2）：口译员尊重学生身份与文化的多样性。</w:t>
            </w:r>
          </w:p>
        </w:tc>
        <w:tc>
          <w:tcPr>
            <w:tcW w:type="dxa" w:w="417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A09 SAFE-AI口译指南，3.1 设计标准与组织义务（p.4）：应制定AI口译产品的设计标准，以指导系统内的开发、治理与反事实公平。</w:t>
            </w:r>
            <w:r>
              <w:br/>
            </w:r>
            <w:r>
              <w:rPr>
                <w:rFonts w:ascii="Arial" w:hAnsi="Arial" w:eastAsia="Noto Sans CJK SC" w:cs="Arial"/>
                <w:b w:val="0"/>
                <w:sz w:val="13"/>
              </w:rPr>
              <w:t>A08 CIOL AI Voices 2025，Dom Hebblethwaite §2 现状不可持续，须建立政策框架（p.10）：同样令人严重关切的是，AI可能延续甚至放大其"训练数据"中存在的偏见……显然，当前公共服务中未被承认、未受管理地使用AI翻译的状况不能再持续下…</w:t>
            </w:r>
          </w:p>
        </w:tc>
        <w:tc>
          <w:tcPr>
            <w:tcW w:type="dxa" w:w="367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E17 TAC 10—2024，4.2 公平公正（p.4）：4.2 公平公正：机器翻译系统应关注数据与算法的公平性，避免歧视与偏见，确保不同语言和文化得到平等对待。</w:t>
            </w:r>
          </w:p>
        </w:tc>
        <w:tc>
          <w:tcPr>
            <w:tcW w:type="dxa" w:w="1800"/>
            <w:vAlign w:val="center"/>
            <w:tcMar>
              <w:top w:w="45" w:type="dxa"/>
              <w:start w:w="55" w:type="dxa"/>
              <w:bottom w:w="45" w:type="dxa"/>
              <w:end w:w="55" w:type="dxa"/>
            </w:tcMar>
            <w:shd w:fill="FCE4D6"/>
          </w:tcPr>
          <w:p>
            <w:pPr>
              <w:spacing w:before="0" w:after="0" w:line="240" w:lineRule="auto"/>
              <w:jc w:val="center"/>
            </w:pPr>
            <w:r/>
            <w:r>
              <w:rPr>
                <w:rFonts w:ascii="Arial" w:hAnsi="Arial" w:eastAsia="Noto Sans CJK SC" w:cs="Arial"/>
                <w:b/>
                <w:sz w:val="14"/>
              </w:rPr>
              <w:t>B2</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属于AI治理新增或扩展；职业侧缺乏直接条款，需要以既有价值、伤害风险与场景检验完成正当化。</w:t>
            </w:r>
          </w:p>
        </w:tc>
      </w:tr>
      <w:tr>
        <w:trPr>
          <w:cantSplit w:val="false"/>
        </w:trPr>
        <w:tc>
          <w:tcPr>
            <w:tcW w:type="dxa" w:w="4824"/>
            <w:vAlign w:val="center"/>
            <w:tcMar>
              <w:top w:w="45" w:type="dxa"/>
              <w:start w:w="55" w:type="dxa"/>
              <w:bottom w:w="45" w:type="dxa"/>
              <w:end w:w="55" w:type="dxa"/>
            </w:tcMar>
            <w:shd w:fill="FFF2CC"/>
          </w:tcPr>
          <w:p>
            <w:pPr>
              <w:spacing w:before="0" w:after="0" w:line="240" w:lineRule="auto"/>
              <w:jc w:val="left"/>
            </w:pPr>
            <w:r/>
            <w:r>
              <w:rPr>
                <w:rFonts w:ascii="Arial" w:hAnsi="Arial" w:eastAsia="Noto Sans CJK SC" w:cs="Arial"/>
                <w:b/>
                <w:sz w:val="13"/>
              </w:rPr>
              <w:t>25. 译者著作权利</w:t>
            </w:r>
            <w:r>
              <w:br/>
            </w:r>
            <w:r>
              <w:rPr>
                <w:rFonts w:ascii="Arial" w:hAnsi="Arial" w:eastAsia="Noto Sans CJK SC" w:cs="Arial"/>
                <w:b/>
                <w:sz w:val="13"/>
              </w:rPr>
              <w:t>【最终条款】译员对其专业产出、署名、修改和合理收益的权利应受到保护；任何用于训练、声音克隆或再商业化的利用须另行明确授权。</w:t>
            </w:r>
          </w:p>
        </w:tc>
        <w:tc>
          <w:tcPr>
            <w:tcW w:type="dxa" w:w="3960"/>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E01 ZYF 012—2019，5.5.2（p.6）：5.5.2 获取工作认可：译员可以恰当的方式要求客户提供对其翻译工作的某种形式的认可；如翻译工作证明文件，在出版物、印刷物、软件开发人员名单中…</w:t>
            </w:r>
            <w:r>
              <w:br/>
            </w:r>
            <w:r>
              <w:rPr>
                <w:rFonts w:ascii="Arial" w:hAnsi="Arial" w:eastAsia="Noto Sans CJK SC" w:cs="Arial"/>
                <w:b w:val="0"/>
                <w:sz w:val="13"/>
              </w:rPr>
              <w:t>E04 FIT《Translator’s Charter》，Art.13（p.2）：第13条：每位译者就其所完成的译作，均应享有其执业所在国给予其他智力工作者的一切权利。</w:t>
            </w:r>
          </w:p>
        </w:tc>
        <w:tc>
          <w:tcPr>
            <w:tcW w:type="dxa" w:w="41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A07 SFT AI立场文件，§22 SFT呼吁尊重人类创作与技能（p.6）：SFT呼吁尊重人类创作与专业技能。人类创作的内容并非无版权可自由使用的"数据"。</w:t>
            </w:r>
            <w:r>
              <w:br/>
            </w:r>
            <w:r>
              <w:rPr>
                <w:rFonts w:ascii="Arial" w:hAnsi="Arial" w:eastAsia="Noto Sans CJK SC" w:cs="Arial"/>
                <w:b w:val="0"/>
                <w:sz w:val="13"/>
              </w:rPr>
              <w:t>A06 AVTE MT宣言，五、伦理层面：作者身份法律地位不明（p.15）：由于目前尚不清楚由机器与译后编辑者协作产生的文本归属何方，视听译者最终可能丧失获得署名的权利，沦为本地化机器中一枚无名无声的齿轮。</w:t>
            </w:r>
          </w:p>
        </w:tc>
        <w:tc>
          <w:tcPr>
            <w:tcW w:type="dxa" w:w="3671"/>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邻接：E07 ISO 18587，Annex D.4 Additional specifications（p.13）：附录D.4 附加规范——g）署名认可（TSP名称在已发布译文中的呈现）。</w:t>
            </w:r>
          </w:p>
        </w:tc>
        <w:tc>
          <w:tcPr>
            <w:tcW w:type="dxa" w:w="1800"/>
            <w:vAlign w:val="center"/>
            <w:tcMar>
              <w:top w:w="45" w:type="dxa"/>
              <w:start w:w="55" w:type="dxa"/>
              <w:bottom w:w="45" w:type="dxa"/>
              <w:end w:w="55" w:type="dxa"/>
            </w:tcMar>
            <w:shd w:fill="E2F0D9"/>
          </w:tcPr>
          <w:p>
            <w:pPr>
              <w:spacing w:before="0" w:after="0" w:line="240" w:lineRule="auto"/>
              <w:jc w:val="center"/>
            </w:pPr>
            <w:r/>
            <w:r>
              <w:rPr>
                <w:rFonts w:ascii="Arial" w:hAnsi="Arial" w:eastAsia="Noto Sans CJK SC" w:cs="Arial"/>
                <w:b/>
                <w:sz w:val="14"/>
              </w:rPr>
              <w:t>A2</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主要证据来自书面/视听翻译；口译中的声音、表演和训练数据权利需结合不同法域谨慎表述。</w:t>
            </w:r>
          </w:p>
        </w:tc>
      </w:tr>
      <w:tr>
        <w:trPr>
          <w:cantSplit w:val="false"/>
        </w:trPr>
        <w:tc>
          <w:tcPr>
            <w:tcW w:type="dxa" w:w="4824"/>
            <w:vAlign w:val="center"/>
            <w:tcMar>
              <w:top w:w="45" w:type="dxa"/>
              <w:start w:w="55" w:type="dxa"/>
              <w:bottom w:w="45" w:type="dxa"/>
              <w:end w:w="55" w:type="dxa"/>
            </w:tcMar>
            <w:shd w:fill="FFF2CC"/>
          </w:tcPr>
          <w:p>
            <w:pPr>
              <w:spacing w:before="0" w:after="0" w:line="240" w:lineRule="auto"/>
              <w:jc w:val="left"/>
            </w:pPr>
            <w:r/>
            <w:r>
              <w:rPr>
                <w:rFonts w:ascii="Arial" w:hAnsi="Arial" w:eastAsia="Noto Sans CJK SC" w:cs="Arial"/>
                <w:b/>
                <w:sz w:val="13"/>
              </w:rPr>
              <w:t>27. 语言可及性/无障碍保障</w:t>
            </w:r>
            <w:r>
              <w:br/>
            </w:r>
            <w:r>
              <w:rPr>
                <w:rFonts w:ascii="Arial" w:hAnsi="Arial" w:eastAsia="Noto Sans CJK SC" w:cs="Arial"/>
                <w:b/>
                <w:sz w:val="13"/>
              </w:rPr>
              <w:t>【最终条款】人机口译应提供实质而非形式上的沟通可及性，避免因残障、语言、设备、数字素养或技术设计造成新的排除。</w:t>
            </w:r>
          </w:p>
        </w:tc>
        <w:tc>
          <w:tcPr>
            <w:tcW w:type="dxa" w:w="3960"/>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E18 ASLIA《Code》，3.2.1 Communication Preferences（p.6）：从业者应尊重并使用聋人及听障参与者以及所服务的健听参与者所偏好的具体沟通方式。</w:t>
            </w:r>
            <w:r>
              <w:br/>
            </w:r>
            <w:r>
              <w:rPr>
                <w:rFonts w:ascii="Arial" w:hAnsi="Arial" w:eastAsia="Noto Sans CJK SC" w:cs="Arial"/>
                <w:b w:val="0"/>
                <w:sz w:val="13"/>
              </w:rPr>
              <w:t>E15 NAIE教育口译守则，Tenet1(b)（p.2）：口译员促进校园环境中的所有交流，包括课堂内外（如课外活动）。</w:t>
            </w:r>
          </w:p>
        </w:tc>
        <w:tc>
          <w:tcPr>
            <w:tcW w:type="dxa" w:w="417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A09 SAFE-AI口译指南，3.2.1 示例：美国法律依据（Title VI等）（p.6）：《民权法案》第六章……《平价医疗法案》第1557条……直接涉及AI与机器翻译："……译文必须经合格人工译者审核。</w:t>
            </w:r>
            <w:r>
              <w:br/>
            </w:r>
            <w:r>
              <w:rPr>
                <w:rFonts w:ascii="Arial" w:hAnsi="Arial" w:eastAsia="Noto Sans CJK SC" w:cs="Arial"/>
                <w:b w:val="0"/>
                <w:sz w:val="13"/>
              </w:rPr>
              <w:t>A08 CIOL AI Voices 2025，Katharine Allen §2 应支持聋人及原住民等群体参与（p.8）：我们的倡导超越了口译员与本行业本身，明确支持依赖我们专业知识的主要沟通者……这凸显出聋人作为这些技术的提供者与接受者双重身份参与的至关重要性，…</w:t>
            </w:r>
          </w:p>
        </w:tc>
        <w:tc>
          <w:tcPr>
            <w:tcW w:type="dxa" w:w="367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邻接：E17 TAC 10—2024，8.4 缩小数据鸿沟和技术鸿沟（p.7）：8.4 缩小数据鸿沟和技术鸿沟：厂商应关注数据鸿沟和技术鸿沟问题，推动技术普及和知识传播，为更多用户提供数据和技术获取及应用等方面的平等机会和…</w:t>
            </w:r>
          </w:p>
        </w:tc>
        <w:tc>
          <w:tcPr>
            <w:tcW w:type="dxa" w:w="1800"/>
            <w:vAlign w:val="center"/>
            <w:tcMar>
              <w:top w:w="45" w:type="dxa"/>
              <w:start w:w="55" w:type="dxa"/>
              <w:bottom w:w="45" w:type="dxa"/>
              <w:end w:w="55" w:type="dxa"/>
            </w:tcMar>
            <w:shd w:fill="E2F0D9"/>
          </w:tcPr>
          <w:p>
            <w:pPr>
              <w:spacing w:before="0" w:after="0" w:line="240" w:lineRule="auto"/>
              <w:jc w:val="center"/>
            </w:pPr>
            <w:r/>
            <w:r>
              <w:rPr>
                <w:rFonts w:ascii="Arial" w:hAnsi="Arial" w:eastAsia="Noto Sans CJK SC" w:cs="Arial"/>
                <w:b/>
                <w:sz w:val="14"/>
              </w:rPr>
              <w:t>A2</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可及性在口译材料中较强，但AI文件常停留于倡议；需用低资源语言、手语和残障场景进行操作化。</w:t>
            </w:r>
          </w:p>
        </w:tc>
      </w:tr>
    </w:tbl>
    <w:p>
      <w:pPr>
        <w:spacing w:before="0" w:after="20" w:line="252" w:lineRule="auto"/>
      </w:pPr>
      <w:r>
        <w:rPr>
          <w:rFonts w:ascii="Arial" w:hAnsi="Arial" w:eastAsia="Noto Sans CJK SC" w:cs="Arial"/>
          <w:b w:val="0"/>
          <w:sz w:val="4"/>
        </w:rPr>
      </w:r>
    </w:p>
    <w:p>
      <w:pPr>
        <w:spacing w:before="80" w:after="60" w:line="252" w:lineRule="auto"/>
      </w:pPr>
      <w:r>
        <w:rPr>
          <w:rFonts w:ascii="Arial" w:hAnsi="Arial" w:eastAsia="Noto Sans CJK SC" w:cs="Arial"/>
          <w:b/>
          <w:color w:val="1F4E79"/>
          <w:sz w:val="25"/>
        </w:rPr>
        <w:t>避免伤害与公共责任</w:t>
      </w:r>
    </w:p>
    <w:tbl>
      <w:tblPr>
        <w:tblStyle w:val="TableGrid"/>
        <w:tblW w:type="auto" w:w="0"/>
        <w:jc w:val="center"/>
        <w:tblLayout w:type="fixed"/>
        <w:tblLook w:firstColumn="1" w:firstRow="1" w:lastColumn="0" w:lastRow="0" w:noHBand="0" w:noVBand="1" w:val="04A0"/>
      </w:tblPr>
      <w:tblGrid>
        <w:gridCol w:w="3806"/>
        <w:gridCol w:w="3806"/>
        <w:gridCol w:w="3806"/>
        <w:gridCol w:w="3806"/>
        <w:gridCol w:w="3806"/>
        <w:gridCol w:w="3806"/>
      </w:tblGrid>
      <w:tr>
        <w:trPr>
          <w:tblHeader w:val="true"/>
        </w:trPr>
        <w:tc>
          <w:tcPr>
            <w:tcW w:type="dxa" w:w="482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维度与最终框架条款</w:t>
            </w:r>
          </w:p>
        </w:tc>
        <w:tc>
          <w:tcPr>
            <w:tcW w:type="dxa" w:w="3960"/>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职业守则证据（P）</w:t>
            </w:r>
          </w:p>
        </w:tc>
        <w:tc>
          <w:tcPr>
            <w:tcW w:type="dxa" w:w="4176"/>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AI/MT立场文件证据（A01–A10）</w:t>
            </w:r>
          </w:p>
        </w:tc>
        <w:tc>
          <w:tcPr>
            <w:tcW w:type="dxa" w:w="3671"/>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正式MT/技术标准证据</w:t>
            </w:r>
          </w:p>
        </w:tc>
        <w:tc>
          <w:tcPr>
            <w:tcW w:type="dxa" w:w="1800"/>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证据等级</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剩余缺口与论文处理</w:t>
            </w:r>
          </w:p>
        </w:tc>
      </w:tr>
      <w:tr>
        <w:trPr>
          <w:cantSplit w:val="false"/>
        </w:trPr>
        <w:tc>
          <w:tcPr>
            <w:tcW w:type="dxa" w:w="4824"/>
            <w:vAlign w:val="center"/>
            <w:tcMar>
              <w:top w:w="45" w:type="dxa"/>
              <w:start w:w="55" w:type="dxa"/>
              <w:bottom w:w="45" w:type="dxa"/>
              <w:end w:w="55" w:type="dxa"/>
            </w:tcMar>
            <w:shd w:fill="F4CCCC"/>
          </w:tcPr>
          <w:p>
            <w:pPr>
              <w:spacing w:before="0" w:after="0" w:line="240" w:lineRule="auto"/>
              <w:jc w:val="left"/>
            </w:pPr>
            <w:r/>
            <w:r>
              <w:rPr>
                <w:rFonts w:ascii="Arial" w:hAnsi="Arial" w:eastAsia="Noto Sans CJK SC" w:cs="Arial"/>
                <w:b/>
                <w:sz w:val="13"/>
              </w:rPr>
              <w:t>12. 拒绝有害工作</w:t>
            </w:r>
            <w:r>
              <w:br/>
            </w:r>
            <w:r>
              <w:rPr>
                <w:rFonts w:ascii="Arial" w:hAnsi="Arial" w:eastAsia="Noto Sans CJK SC" w:cs="Arial"/>
                <w:b/>
                <w:sz w:val="13"/>
              </w:rPr>
              <w:t>【最终条款】对于违法、歧视、操纵或无法达到最低安全标准的用途，应拒绝或停止AI口译；机构须提供禁用清单、升级路径和人工替代。</w:t>
            </w:r>
          </w:p>
        </w:tc>
        <w:tc>
          <w:tcPr>
            <w:tcW w:type="dxa" w:w="3960"/>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E06 HIN社区口译标准，LITP Std.27 Role Boundaries（p.27）：口译员保护自身的隐私、福祉与安全。</w:t>
            </w:r>
            <w:r>
              <w:br/>
            </w:r>
            <w:r>
              <w:rPr>
                <w:rFonts w:ascii="Arial" w:hAnsi="Arial" w:eastAsia="Noto Sans CJK SC" w:cs="Arial"/>
                <w:b w:val="0"/>
                <w:sz w:val="13"/>
              </w:rPr>
              <w:t>E01 ZYF 012—2019，5.3.9（p.6）：5.3.9 若译员认为翻译内容将被用于非法或不正当目的，或将损害公共利益，应拒绝承接该项翻译任务。</w:t>
            </w:r>
          </w:p>
        </w:tc>
        <w:tc>
          <w:tcPr>
            <w:tcW w:type="dxa" w:w="41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A03 FIT AI口译立场文件，§1 标题与机构介绍（p.1）：《人工智能在口译中应用的立场文件》。</w:t>
            </w:r>
            <w:r>
              <w:br/>
            </w:r>
            <w:r>
              <w:rPr>
                <w:rFonts w:ascii="Arial" w:hAnsi="Arial" w:eastAsia="Noto Sans CJK SC" w:cs="Arial"/>
                <w:b w:val="0"/>
                <w:sz w:val="13"/>
              </w:rPr>
              <w:t>A07 SFT AI立场文件，§23 SFT建议禁止以AI取代语言专家（p.6）：SFT建议禁止以AI取代语言专家：越来越多的研究表明，AI存在严重错误、传播偏见与成见，且如今已导致语言的贫瘠化……</w:t>
            </w:r>
          </w:p>
        </w:tc>
        <w:tc>
          <w:tcPr>
            <w:tcW w:type="dxa" w:w="3671"/>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E17 TAC 10—2024，6.1.1 算法安全性（p.5）：6.1.1 算法安全性：机器翻译算法应确保不会被恶意攻击、篡改或滥用，避免为技术研发方、技术所有方和技术需求方带来财产损失或人身安全风险。</w:t>
            </w:r>
          </w:p>
        </w:tc>
        <w:tc>
          <w:tcPr>
            <w:tcW w:type="dxa" w:w="1800"/>
            <w:vAlign w:val="center"/>
            <w:tcMar>
              <w:top w:w="45" w:type="dxa"/>
              <w:start w:w="55" w:type="dxa"/>
              <w:bottom w:w="45" w:type="dxa"/>
              <w:end w:w="55" w:type="dxa"/>
            </w:tcMar>
            <w:shd w:fill="C6E0B4"/>
          </w:tcPr>
          <w:p>
            <w:pPr>
              <w:spacing w:before="0" w:after="0" w:line="240" w:lineRule="auto"/>
              <w:jc w:val="center"/>
            </w:pPr>
            <w:r/>
            <w:r>
              <w:rPr>
                <w:rFonts w:ascii="Arial" w:hAnsi="Arial" w:eastAsia="Noto Sans CJK SC" w:cs="Arial"/>
                <w:b/>
                <w:sz w:val="14"/>
              </w:rPr>
              <w:t>A1</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三类证据相互支撑；仍需在正文中区分文件效力、适用范围与口译情境化后的改写。</w:t>
            </w:r>
          </w:p>
        </w:tc>
      </w:tr>
      <w:tr>
        <w:trPr>
          <w:cantSplit w:val="false"/>
        </w:trPr>
        <w:tc>
          <w:tcPr>
            <w:tcW w:type="dxa" w:w="4824"/>
            <w:vAlign w:val="center"/>
            <w:tcMar>
              <w:top w:w="45" w:type="dxa"/>
              <w:start w:w="55" w:type="dxa"/>
              <w:bottom w:w="45" w:type="dxa"/>
              <w:end w:w="55" w:type="dxa"/>
            </w:tcMar>
            <w:shd w:fill="F4CCCC"/>
          </w:tcPr>
          <w:p>
            <w:pPr>
              <w:spacing w:before="0" w:after="0" w:line="240" w:lineRule="auto"/>
              <w:jc w:val="left"/>
            </w:pPr>
            <w:r/>
            <w:r>
              <w:rPr>
                <w:rFonts w:ascii="Arial" w:hAnsi="Arial" w:eastAsia="Noto Sans CJK SC" w:cs="Arial"/>
                <w:b/>
                <w:sz w:val="13"/>
              </w:rPr>
              <w:t>13. 社会责任</w:t>
            </w:r>
            <w:r>
              <w:br/>
            </w:r>
            <w:r>
              <w:rPr>
                <w:rFonts w:ascii="Arial" w:hAnsi="Arial" w:eastAsia="Noto Sans CJK SC" w:cs="Arial"/>
                <w:b/>
                <w:sz w:val="13"/>
              </w:rPr>
              <w:t>【最终条款】AI口译决策应考虑个案之外的公共利益、职业生态、语言多样性、环境与长期社会后果，并对重大系统性风险负责。</w:t>
            </w:r>
          </w:p>
        </w:tc>
        <w:tc>
          <w:tcPr>
            <w:tcW w:type="dxa" w:w="3960"/>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邻接：E03 AIIC《Code》2022，Art.15.4 Avoid SI without booth（p.4）：第15.3条：避免系统性接力口译——协会会员应尽力确保会议口译团队的组成方式能够避免系统性使用接力口译。</w:t>
            </w:r>
          </w:p>
        </w:tc>
        <w:tc>
          <w:tcPr>
            <w:tcW w:type="dxa" w:w="417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A07 SFT AI立场文件，§18 警示：环境层面的能耗违反可持续发展目标（p.5）：在环境层面，AI对能源与自然资源的巨大消耗……直接违反了联合国可持续发展目标与《巴黎气候协定》。</w:t>
            </w:r>
            <w:r>
              <w:br/>
            </w:r>
            <w:r>
              <w:rPr>
                <w:rFonts w:ascii="Arial" w:hAnsi="Arial" w:eastAsia="Noto Sans CJK SC" w:cs="Arial"/>
                <w:b w:val="0"/>
                <w:sz w:val="13"/>
              </w:rPr>
              <w:t>A06 AVTE MT宣言，Summary §7 不当使用MT危及行业可持续性（p.2）：不加节制地使用MT将日益导致人才流失与人才短缺，损害本行业的长期可持续性。</w:t>
            </w:r>
          </w:p>
        </w:tc>
        <w:tc>
          <w:tcPr>
            <w:tcW w:type="dxa" w:w="367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E17 TAC 10—2024，4.1 技术向善（p.4）：4.1 技术向善：机器翻译系统应服务于提升人类福祉，促进社会进步与和谐，深化文化交流与理解，推动全球合作与发展。</w:t>
            </w:r>
          </w:p>
        </w:tc>
        <w:tc>
          <w:tcPr>
            <w:tcW w:type="dxa" w:w="1800"/>
            <w:vAlign w:val="center"/>
            <w:tcMar>
              <w:top w:w="45" w:type="dxa"/>
              <w:start w:w="55" w:type="dxa"/>
              <w:bottom w:w="45" w:type="dxa"/>
              <w:end w:w="55" w:type="dxa"/>
            </w:tcMar>
            <w:shd w:fill="FCE4D6"/>
          </w:tcPr>
          <w:p>
            <w:pPr>
              <w:spacing w:before="0" w:after="0" w:line="240" w:lineRule="auto"/>
              <w:jc w:val="center"/>
            </w:pPr>
            <w:r/>
            <w:r>
              <w:rPr>
                <w:rFonts w:ascii="Arial" w:hAnsi="Arial" w:eastAsia="Noto Sans CJK SC" w:cs="Arial"/>
                <w:b/>
                <w:sz w:val="14"/>
              </w:rPr>
              <w:t>B2</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属于AI治理新增或扩展；职业侧缺乏直接条款，需要以既有价值、伤害风险与场景检验完成正当化。</w:t>
            </w:r>
          </w:p>
        </w:tc>
      </w:tr>
    </w:tbl>
    <w:p>
      <w:pPr>
        <w:spacing w:before="0" w:after="20" w:line="252" w:lineRule="auto"/>
      </w:pPr>
      <w:r>
        <w:rPr>
          <w:rFonts w:ascii="Arial" w:hAnsi="Arial" w:eastAsia="Noto Sans CJK SC" w:cs="Arial"/>
          <w:b w:val="0"/>
          <w:sz w:val="4"/>
        </w:rPr>
      </w:r>
    </w:p>
    <w:p>
      <w:pPr>
        <w:pageBreakBefore/>
        <w:spacing w:before="80" w:after="60" w:line="252" w:lineRule="auto"/>
      </w:pPr>
      <w:r>
        <w:rPr>
          <w:rFonts w:ascii="Arial" w:hAnsi="Arial" w:eastAsia="Noto Sans CJK SC" w:cs="Arial"/>
          <w:b/>
          <w:color w:val="1F4E79"/>
          <w:sz w:val="25"/>
        </w:rPr>
        <w:t>透明、技术控制与责任治理</w:t>
      </w:r>
    </w:p>
    <w:tbl>
      <w:tblPr>
        <w:tblStyle w:val="TableGrid"/>
        <w:tblW w:type="auto" w:w="0"/>
        <w:jc w:val="center"/>
        <w:tblLayout w:type="fixed"/>
        <w:tblLook w:firstColumn="1" w:firstRow="1" w:lastColumn="0" w:lastRow="0" w:noHBand="0" w:noVBand="1" w:val="04A0"/>
      </w:tblPr>
      <w:tblGrid>
        <w:gridCol w:w="3806"/>
        <w:gridCol w:w="3806"/>
        <w:gridCol w:w="3806"/>
        <w:gridCol w:w="3806"/>
        <w:gridCol w:w="3806"/>
        <w:gridCol w:w="3806"/>
      </w:tblGrid>
      <w:tr>
        <w:trPr>
          <w:tblHeader w:val="true"/>
        </w:trPr>
        <w:tc>
          <w:tcPr>
            <w:tcW w:type="dxa" w:w="482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维度与最终框架条款</w:t>
            </w:r>
          </w:p>
        </w:tc>
        <w:tc>
          <w:tcPr>
            <w:tcW w:type="dxa" w:w="3960"/>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职业守则证据（P）</w:t>
            </w:r>
          </w:p>
        </w:tc>
        <w:tc>
          <w:tcPr>
            <w:tcW w:type="dxa" w:w="4176"/>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AI/MT立场文件证据（A01–A10）</w:t>
            </w:r>
          </w:p>
        </w:tc>
        <w:tc>
          <w:tcPr>
            <w:tcW w:type="dxa" w:w="3671"/>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正式MT/技术标准证据</w:t>
            </w:r>
          </w:p>
        </w:tc>
        <w:tc>
          <w:tcPr>
            <w:tcW w:type="dxa" w:w="1800"/>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证据等级</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4"/>
              </w:rPr>
              <w:t>剩余缺口与论文处理</w:t>
            </w:r>
          </w:p>
        </w:tc>
      </w:tr>
      <w:tr>
        <w:trPr>
          <w:cantSplit w:val="false"/>
        </w:trPr>
        <w:tc>
          <w:tcPr>
            <w:tcW w:type="dxa" w:w="4824"/>
            <w:vAlign w:val="center"/>
            <w:tcMar>
              <w:top w:w="45" w:type="dxa"/>
              <w:start w:w="55" w:type="dxa"/>
              <w:bottom w:w="45" w:type="dxa"/>
              <w:end w:w="55" w:type="dxa"/>
            </w:tcMar>
            <w:shd w:fill="E4DFEC"/>
          </w:tcPr>
          <w:p>
            <w:pPr>
              <w:spacing w:before="0" w:after="0" w:line="240" w:lineRule="auto"/>
              <w:jc w:val="left"/>
            </w:pPr>
            <w:r/>
            <w:r>
              <w:rPr>
                <w:rFonts w:ascii="Arial" w:hAnsi="Arial" w:eastAsia="Noto Sans CJK SC" w:cs="Arial"/>
                <w:b/>
                <w:sz w:val="13"/>
              </w:rPr>
              <w:t>16. 透明度</w:t>
            </w:r>
            <w:r>
              <w:br/>
            </w:r>
            <w:r>
              <w:rPr>
                <w:rFonts w:ascii="Arial" w:hAnsi="Arial" w:eastAsia="Noto Sans CJK SC" w:cs="Arial"/>
                <w:b/>
                <w:sz w:val="13"/>
              </w:rPr>
              <w:t>【最终条款】服务对象应及时获得可理解的AI参与、人工监督、数据用途、能力边界和主要风险信息；披露应支持真实选择和责任追溯。</w:t>
            </w:r>
          </w:p>
        </w:tc>
        <w:tc>
          <w:tcPr>
            <w:tcW w:type="dxa" w:w="3960"/>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E06 HIN社区口译标准，LITP Std.2 Accuracy and Fidelity（p.23）：口译员告知各方，交流过程中所说的一切内容都将被传译。</w:t>
            </w:r>
            <w:r>
              <w:br/>
            </w:r>
            <w:r>
              <w:rPr>
                <w:rFonts w:ascii="Arial" w:hAnsi="Arial" w:eastAsia="Noto Sans CJK SC" w:cs="Arial"/>
                <w:b w:val="0"/>
                <w:sz w:val="13"/>
              </w:rPr>
              <w:t>E08 EULITA《Code》，Obstacles to Performance Quality（p.2-3）：法律口译员和法律笔译员应向法庭（该注释适用于所有法律场景）提请注意任何影响表现质量的情况或条件，例如口译员疲劳、听力和/或视力障碍、专业术语知…</w:t>
            </w:r>
          </w:p>
        </w:tc>
        <w:tc>
          <w:tcPr>
            <w:tcW w:type="dxa" w:w="41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A09 SAFE-AI口译指南，3.3 原则三：AI质量对公众的透明度（p.6）：制定明确的政策与程序……翻译产品的真实成本不得被隐瞒……相关信息应予公开……并连同其影响一并直接传达给企业客户（作为签约的一部分）与终端用户（…</w:t>
            </w:r>
            <w:r>
              <w:br/>
            </w:r>
            <w:r>
              <w:rPr>
                <w:rFonts w:ascii="Arial" w:hAnsi="Arial" w:eastAsia="Noto Sans CJK SC" w:cs="Arial"/>
                <w:b w:val="0"/>
                <w:sz w:val="13"/>
              </w:rPr>
              <w:t>A10 AUSIT AI立场文件，V 应用政府原则(二)：透明度与可解释性（p.31）：上述流程同样体现了澳大利亚政府"透明度与可解释性"的原则。</w:t>
            </w:r>
          </w:p>
        </w:tc>
        <w:tc>
          <w:tcPr>
            <w:tcW w:type="dxa" w:w="3671"/>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E17 TAC 10—2024，6.2.6 数据共享与开放（p.6）：6.2.6 数据共享与开放：机器翻译系统的数据采集和使用应遵循开放共享原则，在保障隐私安全并符合合法律法规要求的前提下，与利益相关者共享数据，…</w:t>
            </w:r>
            <w:r>
              <w:br/>
            </w:r>
            <w:r>
              <w:rPr>
                <w:rFonts w:ascii="Arial" w:hAnsi="Arial" w:eastAsia="Noto Sans CJK SC" w:cs="Arial"/>
                <w:b w:val="0"/>
                <w:sz w:val="13"/>
              </w:rPr>
              <w:t>E07 ISO 18587，4.2 Pre-production（p.6）：4.2 译前流程——TSP应告知译后编辑员对MT输出预估可用程度的评估。</w:t>
            </w:r>
          </w:p>
        </w:tc>
        <w:tc>
          <w:tcPr>
            <w:tcW w:type="dxa" w:w="1800"/>
            <w:vAlign w:val="center"/>
            <w:tcMar>
              <w:top w:w="45" w:type="dxa"/>
              <w:start w:w="55" w:type="dxa"/>
              <w:bottom w:w="45" w:type="dxa"/>
              <w:end w:w="55" w:type="dxa"/>
            </w:tcMar>
            <w:shd w:fill="C6E0B4"/>
          </w:tcPr>
          <w:p>
            <w:pPr>
              <w:spacing w:before="0" w:after="0" w:line="240" w:lineRule="auto"/>
              <w:jc w:val="center"/>
            </w:pPr>
            <w:r/>
            <w:r>
              <w:rPr>
                <w:rFonts w:ascii="Arial" w:hAnsi="Arial" w:eastAsia="Noto Sans CJK SC" w:cs="Arial"/>
                <w:b/>
                <w:sz w:val="14"/>
              </w:rPr>
              <w:t>A1</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三类证据相互支撑；仍需在正文中区分文件效力、适用范围与口译情境化后的改写。</w:t>
            </w:r>
          </w:p>
        </w:tc>
      </w:tr>
      <w:tr>
        <w:trPr>
          <w:cantSplit w:val="false"/>
        </w:trPr>
        <w:tc>
          <w:tcPr>
            <w:tcW w:type="dxa" w:w="4824"/>
            <w:vAlign w:val="center"/>
            <w:tcMar>
              <w:top w:w="45" w:type="dxa"/>
              <w:start w:w="55" w:type="dxa"/>
              <w:bottom w:w="45" w:type="dxa"/>
              <w:end w:w="55" w:type="dxa"/>
            </w:tcMar>
            <w:shd w:fill="E4DFEC"/>
          </w:tcPr>
          <w:p>
            <w:pPr>
              <w:spacing w:before="0" w:after="0" w:line="240" w:lineRule="auto"/>
              <w:jc w:val="left"/>
            </w:pPr>
            <w:r/>
            <w:r>
              <w:rPr>
                <w:rFonts w:ascii="Arial" w:hAnsi="Arial" w:eastAsia="Noto Sans CJK SC" w:cs="Arial"/>
                <w:b/>
                <w:sz w:val="13"/>
              </w:rPr>
              <w:t>18. 技术使用规范</w:t>
            </w:r>
            <w:r>
              <w:br/>
            </w:r>
            <w:r>
              <w:rPr>
                <w:rFonts w:ascii="Arial" w:hAnsi="Arial" w:eastAsia="Noto Sans CJK SC" w:cs="Arial"/>
                <w:b/>
                <w:sz w:val="13"/>
              </w:rPr>
              <w:t>【最终条款】技术使用须与任务目的、风险和替代方案相称，并始终受专业判断、可停止性、可逆性和人类责任约束。</w:t>
            </w:r>
          </w:p>
        </w:tc>
        <w:tc>
          <w:tcPr>
            <w:tcW w:type="dxa" w:w="3960"/>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E01 ZYF 012—2019，准则8 妥用技术（p.3）：准则8：妥用技术。译员应恰当使用翻译技术，以提升翻译效率，保证翻译质量。</w:t>
            </w:r>
            <w:r>
              <w:br/>
            </w:r>
            <w:r>
              <w:rPr>
                <w:rFonts w:ascii="Arial" w:hAnsi="Arial" w:eastAsia="Noto Sans CJK SC" w:cs="Arial"/>
                <w:b w:val="0"/>
                <w:sz w:val="13"/>
              </w:rPr>
              <w:t>E02 AUSIT《Code of Ethics》，口譯 Int13（p.15）：口譯員會熟悉愈來愈多用於口譯的技術，包括電話、視訊和網路口譯，以及各種記錄/傳輸設備。</w:t>
            </w:r>
          </w:p>
        </w:tc>
        <w:tc>
          <w:tcPr>
            <w:tcW w:type="dxa" w:w="417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邻接：A03 FIT AI口译立场文件，§16 结论：AI不成熟需人工监督（p.3）：结论。目前，AI驱动的翻译是一项不可靠的技术，尚不足以在敏感法律情境（尤其是移民法领域）中充分取代人工笔译员与口译员。</w:t>
            </w:r>
            <w:r>
              <w:br/>
            </w:r>
            <w:r>
              <w:rPr>
                <w:rFonts w:ascii="Arial" w:hAnsi="Arial" w:eastAsia="Noto Sans CJK SC" w:cs="Arial"/>
                <w:b w:val="0"/>
                <w:sz w:val="13"/>
              </w:rPr>
              <w:t>邻接：A04 FIT MT立场文件，§15 "人在核心"理念（p.4）：这种人机协作体现了人类需持续积极参与翻译流程的必要性。</w:t>
            </w:r>
          </w:p>
        </w:tc>
        <w:tc>
          <w:tcPr>
            <w:tcW w:type="dxa" w:w="367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邻接：E17 TAC 10—2024，4.3 可靠可控（p.4）：4.3 可靠可控：机器翻译系统应确保其准确性与一致性，同时允许用户在必要时对系统进行干预和调整，实现系统的可控性。</w:t>
            </w:r>
          </w:p>
        </w:tc>
        <w:tc>
          <w:tcPr>
            <w:tcW w:type="dxa" w:w="1800"/>
            <w:vAlign w:val="center"/>
            <w:tcMar>
              <w:top w:w="45" w:type="dxa"/>
              <w:start w:w="55" w:type="dxa"/>
              <w:bottom w:w="45" w:type="dxa"/>
              <w:end w:w="55" w:type="dxa"/>
            </w:tcMar>
            <w:shd w:fill="F4CCCC"/>
          </w:tcPr>
          <w:p>
            <w:pPr>
              <w:spacing w:before="0" w:after="0" w:line="240" w:lineRule="auto"/>
              <w:jc w:val="center"/>
            </w:pPr>
            <w:r/>
            <w:r>
              <w:rPr>
                <w:rFonts w:ascii="Arial" w:hAnsi="Arial" w:eastAsia="Noto Sans CJK SC" w:cs="Arial"/>
                <w:b/>
                <w:sz w:val="14"/>
              </w:rPr>
              <w:t>C1</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正式职业条款较强，但10份立场文件直接主归属较少；应以风险比例和人类控制解释其桥接地位。</w:t>
            </w:r>
          </w:p>
        </w:tc>
      </w:tr>
      <w:tr>
        <w:trPr>
          <w:cantSplit w:val="false"/>
        </w:trPr>
        <w:tc>
          <w:tcPr>
            <w:tcW w:type="dxa" w:w="4824"/>
            <w:vAlign w:val="center"/>
            <w:tcMar>
              <w:top w:w="45" w:type="dxa"/>
              <w:start w:w="55" w:type="dxa"/>
              <w:bottom w:w="45" w:type="dxa"/>
              <w:end w:w="55" w:type="dxa"/>
            </w:tcMar>
            <w:shd w:fill="E4DFEC"/>
          </w:tcPr>
          <w:p>
            <w:pPr>
              <w:spacing w:before="0" w:after="0" w:line="240" w:lineRule="auto"/>
              <w:jc w:val="left"/>
            </w:pPr>
            <w:r/>
            <w:r>
              <w:rPr>
                <w:rFonts w:ascii="Arial" w:hAnsi="Arial" w:eastAsia="Noto Sans CJK SC" w:cs="Arial"/>
                <w:b/>
                <w:sz w:val="13"/>
              </w:rPr>
              <w:t>21. 人机协作规范</w:t>
            </w:r>
            <w:r>
              <w:br/>
            </w:r>
            <w:r>
              <w:rPr>
                <w:rFonts w:ascii="Arial" w:hAnsi="Arial" w:eastAsia="Noto Sans CJK SC" w:cs="Arial"/>
                <w:b/>
                <w:sz w:val="13"/>
              </w:rPr>
              <w:t>【最终条款】所有人机协作口译流程均应保留有意义的人类控制，包括知情选择、持续监督、覆盖输出、暂停服务、人工接管和最终责任。</w:t>
            </w:r>
          </w:p>
        </w:tc>
        <w:tc>
          <w:tcPr>
            <w:tcW w:type="dxa" w:w="3960"/>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未发现直接或明确邻接条款。</w:t>
            </w:r>
          </w:p>
        </w:tc>
        <w:tc>
          <w:tcPr>
            <w:tcW w:type="dxa" w:w="41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A03 FIT AI口译立场文件，§16 结论：AI不成熟需人工监督（p.3）：结论。目前，AI驱动的翻译是一项不可靠的技术，尚不足以在敏感法律情境（尤其是移民法领域）中充分取代人工笔译员与口译员。</w:t>
            </w:r>
            <w:r>
              <w:br/>
            </w:r>
            <w:r>
              <w:rPr>
                <w:rFonts w:ascii="Arial" w:hAnsi="Arial" w:eastAsia="Noto Sans CJK SC" w:cs="Arial"/>
                <w:b w:val="0"/>
                <w:sz w:val="13"/>
              </w:rPr>
              <w:t>A07 SFT AI立场文件，§8 需求变化：盲目信任新工具（p.3）：需求的变化反映出人们对训练不足的新工具的盲目信任……盲目使用这些工具进行翻译，要么导致我们作为语言专家的角色彻底消失，要么导致毫无把关地涌入大…</w:t>
            </w:r>
          </w:p>
        </w:tc>
        <w:tc>
          <w:tcPr>
            <w:tcW w:type="dxa" w:w="3671"/>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E17 TAC 10—2024，4.3 可靠可控（p.4）：4.3 可靠可控：机器翻译系统应确保其准确性与一致性，同时允许用户在必要时对系统进行干预和调整，实现系统的可控性。</w:t>
            </w:r>
          </w:p>
        </w:tc>
        <w:tc>
          <w:tcPr>
            <w:tcW w:type="dxa" w:w="1800"/>
            <w:vAlign w:val="center"/>
            <w:tcMar>
              <w:top w:w="45" w:type="dxa"/>
              <w:start w:w="55" w:type="dxa"/>
              <w:bottom w:w="45" w:type="dxa"/>
              <w:end w:w="55" w:type="dxa"/>
            </w:tcMar>
            <w:shd w:fill="FCE4D6"/>
          </w:tcPr>
          <w:p>
            <w:pPr>
              <w:spacing w:before="0" w:after="0" w:line="240" w:lineRule="auto"/>
              <w:jc w:val="center"/>
            </w:pPr>
            <w:r/>
            <w:r>
              <w:rPr>
                <w:rFonts w:ascii="Arial" w:hAnsi="Arial" w:eastAsia="Noto Sans CJK SC" w:cs="Arial"/>
                <w:b/>
                <w:sz w:val="14"/>
              </w:rPr>
              <w:t>B2</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属于AI治理新增或扩展；职业侧缺乏直接条款，需要以既有价值、伤害风险与场景检验完成正当化。</w:t>
            </w:r>
          </w:p>
        </w:tc>
      </w:tr>
      <w:tr>
        <w:trPr>
          <w:cantSplit w:val="false"/>
        </w:trPr>
        <w:tc>
          <w:tcPr>
            <w:tcW w:type="dxa" w:w="4824"/>
            <w:vAlign w:val="center"/>
            <w:tcMar>
              <w:top w:w="45" w:type="dxa"/>
              <w:start w:w="55" w:type="dxa"/>
              <w:bottom w:w="45" w:type="dxa"/>
              <w:end w:w="55" w:type="dxa"/>
            </w:tcMar>
            <w:shd w:fill="E4DFEC"/>
          </w:tcPr>
          <w:p>
            <w:pPr>
              <w:spacing w:before="0" w:after="0" w:line="240" w:lineRule="auto"/>
              <w:jc w:val="left"/>
            </w:pPr>
            <w:r/>
            <w:r>
              <w:rPr>
                <w:rFonts w:ascii="Arial" w:hAnsi="Arial" w:eastAsia="Noto Sans CJK SC" w:cs="Arial"/>
                <w:b/>
                <w:sz w:val="13"/>
              </w:rPr>
              <w:t>23. 可解释性</w:t>
            </w:r>
            <w:r>
              <w:br/>
            </w:r>
            <w:r>
              <w:rPr>
                <w:rFonts w:ascii="Arial" w:hAnsi="Arial" w:eastAsia="Noto Sans CJK SC" w:cs="Arial"/>
                <w:b/>
                <w:sz w:val="13"/>
              </w:rPr>
              <w:t>【最终条款】系统的能力、限制、风险与关键决策依据应以受众可理解的方式说明，使用户、译员、机构和监管者能够质疑、审核和纠错。</w:t>
            </w:r>
          </w:p>
        </w:tc>
        <w:tc>
          <w:tcPr>
            <w:tcW w:type="dxa" w:w="3960"/>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邻接：E06 HIN社区口译标准，LITP Std.33 Accountability（p.28）：口译员保持透明度。如需澄清，应以第一人称向各方明确表示：“我，作为口译员，需要就……进行澄清。</w:t>
            </w:r>
          </w:p>
        </w:tc>
        <w:tc>
          <w:tcPr>
            <w:tcW w:type="dxa" w:w="4176"/>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邻接：A09 SAFE-AI口译指南，3.4.2 人工监督的具体审计内容清单（p.11-12）：（审计）应在部署与使用的多个环节实施；应涵盖AI口译产品的多个方面，如语言准确性、沟通有效性……；内容应有所变化，以确保发现的错误得到纠正，而…</w:t>
            </w:r>
            <w:r>
              <w:br/>
            </w:r>
            <w:r>
              <w:rPr>
                <w:rFonts w:ascii="Arial" w:hAnsi="Arial" w:eastAsia="Noto Sans CJK SC" w:cs="Arial"/>
                <w:b w:val="0"/>
                <w:sz w:val="13"/>
              </w:rPr>
              <w:t>邻接：A10 AUSIT AI立场文件，V 应用政府原则(三)：问责制（转引政府定义）（p.31）：另一项原则是"问责制"：问责制——负责AI系统生命周期不同阶段的人员应可被识别，并对AI系统的结果负责，且应确保对AI系统的人工监督得以实现。</w:t>
            </w:r>
          </w:p>
        </w:tc>
        <w:tc>
          <w:tcPr>
            <w:tcW w:type="dxa" w:w="3671"/>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E17 TAC 10—2024，6.1.3 算法可解释性（p.5）：6.1.3 算法可解释性：机器翻译算法应力求逻辑清晰和易于理解，增强用户对算法和系统的信任度</w:t>
            </w:r>
          </w:p>
        </w:tc>
        <w:tc>
          <w:tcPr>
            <w:tcW w:type="dxa" w:w="1800"/>
            <w:vAlign w:val="center"/>
            <w:tcMar>
              <w:top w:w="45" w:type="dxa"/>
              <w:start w:w="55" w:type="dxa"/>
              <w:bottom w:w="45" w:type="dxa"/>
              <w:end w:w="55" w:type="dxa"/>
            </w:tcMar>
            <w:shd w:fill="FCE4D6"/>
          </w:tcPr>
          <w:p>
            <w:pPr>
              <w:spacing w:before="0" w:after="0" w:line="240" w:lineRule="auto"/>
              <w:jc w:val="center"/>
            </w:pPr>
            <w:r/>
            <w:r>
              <w:rPr>
                <w:rFonts w:ascii="Arial" w:hAnsi="Arial" w:eastAsia="Noto Sans CJK SC" w:cs="Arial"/>
                <w:b/>
                <w:sz w:val="14"/>
              </w:rPr>
              <w:t>B2</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直接证据几乎集中于TAC；须区分用户可理解解释、专业审计与监管可审查性，并避免过度声称共识。</w:t>
            </w:r>
          </w:p>
        </w:tc>
      </w:tr>
      <w:tr>
        <w:trPr>
          <w:cantSplit w:val="false"/>
        </w:trPr>
        <w:tc>
          <w:tcPr>
            <w:tcW w:type="dxa" w:w="4824"/>
            <w:vAlign w:val="center"/>
            <w:tcMar>
              <w:top w:w="45" w:type="dxa"/>
              <w:start w:w="55" w:type="dxa"/>
              <w:bottom w:w="45" w:type="dxa"/>
              <w:end w:w="55" w:type="dxa"/>
            </w:tcMar>
            <w:shd w:fill="E4DFEC"/>
          </w:tcPr>
          <w:p>
            <w:pPr>
              <w:spacing w:before="0" w:after="0" w:line="240" w:lineRule="auto"/>
              <w:jc w:val="left"/>
            </w:pPr>
            <w:r/>
            <w:r>
              <w:rPr>
                <w:rFonts w:ascii="Arial" w:hAnsi="Arial" w:eastAsia="Noto Sans CJK SC" w:cs="Arial"/>
                <w:b/>
                <w:sz w:val="13"/>
              </w:rPr>
              <w:t>29. 问责制/责任归属</w:t>
            </w:r>
            <w:r>
              <w:br/>
            </w:r>
            <w:r>
              <w:rPr>
                <w:rFonts w:ascii="Arial" w:hAnsi="Arial" w:eastAsia="Noto Sans CJK SC" w:cs="Arial"/>
                <w:b/>
                <w:sz w:val="13"/>
              </w:rPr>
              <w:t>【最终条款】应建立贯穿开发、供应、采购、部署和现场服务的分布式责任链，确保决策可追溯、损害可救济、事故可学习且不存在责任真空。</w:t>
            </w:r>
          </w:p>
        </w:tc>
        <w:tc>
          <w:tcPr>
            <w:tcW w:type="dxa" w:w="3960"/>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E18 ASLIA《Code》，1.2.6 Professional Conduct（p.3-4）：作为ASLIA会员的从业者须就其专业及伦理行为对ASLIA及其所在州协会负责。</w:t>
            </w:r>
            <w:r>
              <w:br/>
            </w:r>
            <w:r>
              <w:rPr>
                <w:rFonts w:ascii="Arial" w:hAnsi="Arial" w:eastAsia="Noto Sans CJK SC" w:cs="Arial"/>
                <w:b w:val="0"/>
                <w:sz w:val="13"/>
              </w:rPr>
              <w:t>E14 ITI《Code》2025，相关条款（Business practices-Subcontracting）：将工作分包给其他专业人员时，会员必须对该工作及其质量负责，并须确保仅聘用承诺遵守本守则原则的分包方，无论该分包方是否为ITI会员。</w:t>
            </w:r>
          </w:p>
        </w:tc>
        <w:tc>
          <w:tcPr>
            <w:tcW w:type="dxa" w:w="41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A03 FIT AI口译立场文件，§9 问责制缺失（p.2）：问责制。在法律与行政诉讼中使用技术引发了问责制问题。</w:t>
            </w:r>
            <w:r>
              <w:br/>
            </w:r>
            <w:r>
              <w:rPr>
                <w:rFonts w:ascii="Arial" w:hAnsi="Arial" w:eastAsia="Noto Sans CJK SC" w:cs="Arial"/>
                <w:b w:val="0"/>
                <w:sz w:val="13"/>
              </w:rPr>
              <w:t>A09 SAFE-AI口译指南，3.4 原则四：公司对错误与伤害的问责（p.10）：创建、销售及部署AI辅助或AI生成口译产品的决定，应基于对以下事项的充分信心：由具备明确职责的具体自然人承担产品性能的责任……AI口译产品的开…</w:t>
            </w:r>
          </w:p>
        </w:tc>
        <w:tc>
          <w:tcPr>
            <w:tcW w:type="dxa" w:w="3671"/>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E17 TAC 10—2024，6.1.6 算法责任和问责（p.5）：机器翻译算法开发者应当清晰界定算法的责任归属，并制定详细的问责机制，以确保在算法出现问题时，能够明确责任、追踪问题源头，并采取必要措施。</w:t>
            </w:r>
          </w:p>
        </w:tc>
        <w:tc>
          <w:tcPr>
            <w:tcW w:type="dxa" w:w="1800"/>
            <w:vAlign w:val="center"/>
            <w:tcMar>
              <w:top w:w="45" w:type="dxa"/>
              <w:start w:w="55" w:type="dxa"/>
              <w:bottom w:w="45" w:type="dxa"/>
              <w:end w:w="55" w:type="dxa"/>
            </w:tcMar>
            <w:shd w:fill="C6E0B4"/>
          </w:tcPr>
          <w:p>
            <w:pPr>
              <w:spacing w:before="0" w:after="0" w:line="240" w:lineRule="auto"/>
              <w:jc w:val="center"/>
            </w:pPr>
            <w:r/>
            <w:r>
              <w:rPr>
                <w:rFonts w:ascii="Arial" w:hAnsi="Arial" w:eastAsia="Noto Sans CJK SC" w:cs="Arial"/>
                <w:b/>
                <w:sz w:val="14"/>
              </w:rPr>
              <w:t>A1</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分布式问责有较强AI证据，但具体法律责任仍依合同、法域和因果链决定；框架应保持原则层级。</w:t>
            </w:r>
          </w:p>
        </w:tc>
      </w:tr>
    </w:tbl>
    <w:p>
      <w:pPr>
        <w:spacing w:before="0" w:after="20" w:line="252" w:lineRule="auto"/>
      </w:pPr>
      <w:r>
        <w:rPr>
          <w:rFonts w:ascii="Arial" w:hAnsi="Arial" w:eastAsia="Noto Sans CJK SC" w:cs="Arial"/>
          <w:b w:val="0"/>
          <w:sz w:val="4"/>
        </w:rPr>
      </w:r>
    </w:p>
    <w:p>
      <w:r>
        <w:br w:type="page"/>
      </w:r>
    </w:p>
    <w:p>
      <w:pPr>
        <w:spacing w:before="0" w:after="60" w:line="252" w:lineRule="auto"/>
      </w:pPr>
      <w:r>
        <w:rPr>
          <w:rFonts w:ascii="Arial" w:hAnsi="Arial" w:eastAsia="Noto Sans CJK SC" w:cs="Arial"/>
          <w:b/>
          <w:color w:val="1F4E79"/>
          <w:sz w:val="30"/>
        </w:rPr>
        <w:t>二、10份AI/MT立场文件的借鉴角色索引</w:t>
      </w:r>
    </w:p>
    <w:p>
      <w:pPr>
        <w:spacing w:before="0" w:after="100" w:line="252" w:lineRule="auto"/>
      </w:pPr>
      <w:r>
        <w:rPr>
          <w:rFonts w:ascii="Arial" w:hAnsi="Arial" w:eastAsia="Noto Sans CJK SC" w:cs="Arial"/>
          <w:b w:val="0"/>
          <w:sz w:val="18"/>
        </w:rPr>
        <w:t>立场文件应在证据链中体现，但不能与正式职业守则、TAC或ISO按同一规范效力处理。其主要作用是提出新兴风险、行业价值和治理方向；进入最终框架前仍须通过正式条款对照、口译适用性检验和冲突分析。</w:t>
      </w:r>
    </w:p>
    <w:tbl>
      <w:tblPr>
        <w:tblStyle w:val="TableGrid"/>
        <w:tblW w:type="auto" w:w="0"/>
        <w:jc w:val="center"/>
        <w:tblLayout w:type="fixed"/>
        <w:tblLook w:firstColumn="1" w:firstRow="1" w:lastColumn="0" w:lastRow="0" w:noHBand="0" w:noVBand="1" w:val="04A0"/>
      </w:tblPr>
      <w:tblGrid>
        <w:gridCol w:w="5709"/>
        <w:gridCol w:w="5709"/>
        <w:gridCol w:w="5709"/>
        <w:gridCol w:w="5709"/>
      </w:tblGrid>
      <w:tr>
        <w:trPr>
          <w:tblHeader w:val="true"/>
        </w:trPr>
        <w:tc>
          <w:tcPr>
            <w:tcW w:type="dxa" w:w="1080"/>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6"/>
              </w:rPr>
              <w:t>编号</w:t>
            </w:r>
          </w:p>
        </w:tc>
        <w:tc>
          <w:tcPr>
            <w:tcW w:type="dxa" w:w="4608"/>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6"/>
              </w:rPr>
              <w:t>文件与范围</w:t>
            </w:r>
          </w:p>
        </w:tc>
        <w:tc>
          <w:tcPr>
            <w:tcW w:type="dxa" w:w="9072"/>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6"/>
              </w:rPr>
              <w:t>可借鉴的规范创新</w:t>
            </w:r>
          </w:p>
        </w:tc>
        <w:tc>
          <w:tcPr>
            <w:tcW w:type="dxa" w:w="7776"/>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6"/>
              </w:rPr>
              <w:t>在29维框架中的主要落点</w:t>
            </w:r>
          </w:p>
        </w:tc>
      </w:tr>
      <w:tr>
        <w:tc>
          <w:tcPr>
            <w:tcW w:type="dxa" w:w="1080"/>
            <w:vAlign w:val="center"/>
            <w:tcMar>
              <w:top w:w="45" w:type="dxa"/>
              <w:start w:w="55" w:type="dxa"/>
              <w:bottom w:w="45" w:type="dxa"/>
              <w:end w:w="55" w:type="dxa"/>
            </w:tcMar>
          </w:tcPr>
          <w:p>
            <w:pPr>
              <w:spacing w:before="0" w:after="0" w:line="240" w:lineRule="auto"/>
              <w:jc w:val="center"/>
            </w:pPr>
            <w:r/>
            <w:r>
              <w:rPr>
                <w:rFonts w:ascii="Arial" w:hAnsi="Arial" w:eastAsia="Noto Sans CJK SC" w:cs="Arial"/>
                <w:b/>
                <w:sz w:val="15"/>
              </w:rPr>
              <w:t>A01</w:t>
            </w:r>
          </w:p>
        </w:tc>
        <w:tc>
          <w:tcPr>
            <w:tcW w:type="dxa" w:w="460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5"/>
              </w:rPr>
              <w:t>CEATL AI声明</w:t>
            </w:r>
            <w:r>
              <w:br/>
            </w:r>
            <w:r>
              <w:rPr>
                <w:rFonts w:ascii="Arial" w:hAnsi="Arial" w:eastAsia="Noto Sans CJK SC" w:cs="Arial"/>
                <w:b w:val="0"/>
                <w:sz w:val="15"/>
              </w:rPr>
              <w:t>范围：T</w:t>
            </w:r>
          </w:p>
        </w:tc>
        <w:tc>
          <w:tcPr>
            <w:tcW w:type="dxa" w:w="9072"/>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5"/>
              </w:rPr>
              <w:t>作者授权、报酬、透明、语言与文学多样性</w:t>
            </w:r>
          </w:p>
        </w:tc>
        <w:tc>
          <w:tcPr>
            <w:tcW w:type="dxa" w:w="77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5"/>
              </w:rPr>
              <w:t>17知识产权；20公平报酬；25著作权利；27可及性；13社会责任</w:t>
            </w:r>
          </w:p>
        </w:tc>
      </w:tr>
      <w:tr>
        <w:tc>
          <w:tcPr>
            <w:tcW w:type="dxa" w:w="1080"/>
            <w:vAlign w:val="center"/>
            <w:tcMar>
              <w:top w:w="45" w:type="dxa"/>
              <w:start w:w="55" w:type="dxa"/>
              <w:bottom w:w="45" w:type="dxa"/>
              <w:end w:w="55" w:type="dxa"/>
            </w:tcMar>
            <w:shd w:fill="F7F9FB"/>
          </w:tcPr>
          <w:p>
            <w:pPr>
              <w:spacing w:before="0" w:after="0" w:line="240" w:lineRule="auto"/>
              <w:jc w:val="center"/>
            </w:pPr>
            <w:r/>
            <w:r>
              <w:rPr>
                <w:rFonts w:ascii="Arial" w:hAnsi="Arial" w:eastAsia="Noto Sans CJK SC" w:cs="Arial"/>
                <w:b/>
                <w:sz w:val="15"/>
              </w:rPr>
              <w:t>A02</w:t>
            </w:r>
          </w:p>
        </w:tc>
        <w:tc>
          <w:tcPr>
            <w:tcW w:type="dxa" w:w="4608"/>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5"/>
              </w:rPr>
              <w:t>ITI Slow Translation Manifesto</w:t>
            </w:r>
            <w:r>
              <w:br/>
            </w:r>
            <w:r>
              <w:rPr>
                <w:rFonts w:ascii="Arial" w:hAnsi="Arial" w:eastAsia="Noto Sans CJK SC" w:cs="Arial"/>
                <w:b w:val="0"/>
                <w:sz w:val="15"/>
              </w:rPr>
              <w:t>范围：T</w:t>
            </w:r>
          </w:p>
        </w:tc>
        <w:tc>
          <w:tcPr>
            <w:tcW w:type="dxa" w:w="9072"/>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5"/>
              </w:rPr>
              <w:t>质量、语境、审慎节奏与人类艺术性</w:t>
            </w:r>
          </w:p>
        </w:tc>
        <w:tc>
          <w:tcPr>
            <w:tcW w:type="dxa" w:w="7776"/>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5"/>
              </w:rPr>
              <w:t>3准确；8质量；9文化能力；21人机协作</w:t>
            </w:r>
          </w:p>
        </w:tc>
      </w:tr>
      <w:tr>
        <w:tc>
          <w:tcPr>
            <w:tcW w:type="dxa" w:w="1080"/>
            <w:vAlign w:val="center"/>
            <w:tcMar>
              <w:top w:w="45" w:type="dxa"/>
              <w:start w:w="55" w:type="dxa"/>
              <w:bottom w:w="45" w:type="dxa"/>
              <w:end w:w="55" w:type="dxa"/>
            </w:tcMar>
          </w:tcPr>
          <w:p>
            <w:pPr>
              <w:spacing w:before="0" w:after="0" w:line="240" w:lineRule="auto"/>
              <w:jc w:val="center"/>
            </w:pPr>
            <w:r/>
            <w:r>
              <w:rPr>
                <w:rFonts w:ascii="Arial" w:hAnsi="Arial" w:eastAsia="Noto Sans CJK SC" w:cs="Arial"/>
                <w:b/>
                <w:sz w:val="15"/>
              </w:rPr>
              <w:t>A03</w:t>
            </w:r>
          </w:p>
        </w:tc>
        <w:tc>
          <w:tcPr>
            <w:tcW w:type="dxa" w:w="460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5"/>
              </w:rPr>
              <w:t>FIT AI口译立场文件</w:t>
            </w:r>
            <w:r>
              <w:br/>
            </w:r>
            <w:r>
              <w:rPr>
                <w:rFonts w:ascii="Arial" w:hAnsi="Arial" w:eastAsia="Noto Sans CJK SC" w:cs="Arial"/>
                <w:b w:val="0"/>
                <w:sz w:val="15"/>
              </w:rPr>
              <w:t>范围：HAI-I</w:t>
            </w:r>
          </w:p>
        </w:tc>
        <w:tc>
          <w:tcPr>
            <w:tcW w:type="dxa" w:w="9072"/>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5"/>
              </w:rPr>
              <w:t>高风险法律口译、人工不可替代、保密、伤害与问责</w:t>
            </w:r>
          </w:p>
        </w:tc>
        <w:tc>
          <w:tcPr>
            <w:tcW w:type="dxa" w:w="77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5"/>
              </w:rPr>
              <w:t>2/3/9/12/19/21/26/29</w:t>
            </w:r>
          </w:p>
        </w:tc>
      </w:tr>
      <w:tr>
        <w:tc>
          <w:tcPr>
            <w:tcW w:type="dxa" w:w="1080"/>
            <w:vAlign w:val="center"/>
            <w:tcMar>
              <w:top w:w="45" w:type="dxa"/>
              <w:start w:w="55" w:type="dxa"/>
              <w:bottom w:w="45" w:type="dxa"/>
              <w:end w:w="55" w:type="dxa"/>
            </w:tcMar>
            <w:shd w:fill="F7F9FB"/>
          </w:tcPr>
          <w:p>
            <w:pPr>
              <w:spacing w:before="0" w:after="0" w:line="240" w:lineRule="auto"/>
              <w:jc w:val="center"/>
            </w:pPr>
            <w:r/>
            <w:r>
              <w:rPr>
                <w:rFonts w:ascii="Arial" w:hAnsi="Arial" w:eastAsia="Noto Sans CJK SC" w:cs="Arial"/>
                <w:b/>
                <w:sz w:val="15"/>
              </w:rPr>
              <w:t>A04</w:t>
            </w:r>
          </w:p>
        </w:tc>
        <w:tc>
          <w:tcPr>
            <w:tcW w:type="dxa" w:w="4608"/>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5"/>
              </w:rPr>
              <w:t>FIT MT立场文件</w:t>
            </w:r>
            <w:r>
              <w:br/>
            </w:r>
            <w:r>
              <w:rPr>
                <w:rFonts w:ascii="Arial" w:hAnsi="Arial" w:eastAsia="Noto Sans CJK SC" w:cs="Arial"/>
                <w:b w:val="0"/>
                <w:sz w:val="15"/>
              </w:rPr>
              <w:t>范围：MT</w:t>
            </w:r>
          </w:p>
        </w:tc>
        <w:tc>
          <w:tcPr>
            <w:tcW w:type="dxa" w:w="9072"/>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5"/>
              </w:rPr>
              <w:t>人类在核心、标签披露、数据/IP、偏差、专业审核</w:t>
            </w:r>
          </w:p>
        </w:tc>
        <w:tc>
          <w:tcPr>
            <w:tcW w:type="dxa" w:w="7776"/>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5"/>
              </w:rPr>
              <w:t>1/2/8/11/16/17/21/22/24</w:t>
            </w:r>
          </w:p>
        </w:tc>
      </w:tr>
      <w:tr>
        <w:tc>
          <w:tcPr>
            <w:tcW w:type="dxa" w:w="1080"/>
            <w:vAlign w:val="center"/>
            <w:tcMar>
              <w:top w:w="45" w:type="dxa"/>
              <w:start w:w="55" w:type="dxa"/>
              <w:bottom w:w="45" w:type="dxa"/>
              <w:end w:w="55" w:type="dxa"/>
            </w:tcMar>
          </w:tcPr>
          <w:p>
            <w:pPr>
              <w:spacing w:before="0" w:after="0" w:line="240" w:lineRule="auto"/>
              <w:jc w:val="center"/>
            </w:pPr>
            <w:r/>
            <w:r>
              <w:rPr>
                <w:rFonts w:ascii="Arial" w:hAnsi="Arial" w:eastAsia="Noto Sans CJK SC" w:cs="Arial"/>
                <w:b/>
                <w:sz w:val="15"/>
              </w:rPr>
              <w:t>A05</w:t>
            </w:r>
          </w:p>
        </w:tc>
        <w:tc>
          <w:tcPr>
            <w:tcW w:type="dxa" w:w="460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5"/>
              </w:rPr>
              <w:t>AVTE生成式AI声明</w:t>
            </w:r>
            <w:r>
              <w:br/>
            </w:r>
            <w:r>
              <w:rPr>
                <w:rFonts w:ascii="Arial" w:hAnsi="Arial" w:eastAsia="Noto Sans CJK SC" w:cs="Arial"/>
                <w:b w:val="0"/>
                <w:sz w:val="15"/>
              </w:rPr>
              <w:t>范围：T</w:t>
            </w:r>
          </w:p>
        </w:tc>
        <w:tc>
          <w:tcPr>
            <w:tcW w:type="dxa" w:w="9072"/>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5"/>
              </w:rPr>
              <w:t>创作质量、版权、报酬、文化偏差、劳动与环境</w:t>
            </w:r>
          </w:p>
        </w:tc>
        <w:tc>
          <w:tcPr>
            <w:tcW w:type="dxa" w:w="77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5"/>
              </w:rPr>
              <w:t>3/8/9/13/17/20/22/25</w:t>
            </w:r>
          </w:p>
        </w:tc>
      </w:tr>
      <w:tr>
        <w:tc>
          <w:tcPr>
            <w:tcW w:type="dxa" w:w="1080"/>
            <w:vAlign w:val="center"/>
            <w:tcMar>
              <w:top w:w="45" w:type="dxa"/>
              <w:start w:w="55" w:type="dxa"/>
              <w:bottom w:w="45" w:type="dxa"/>
              <w:end w:w="55" w:type="dxa"/>
            </w:tcMar>
            <w:shd w:fill="F7F9FB"/>
          </w:tcPr>
          <w:p>
            <w:pPr>
              <w:spacing w:before="0" w:after="0" w:line="240" w:lineRule="auto"/>
              <w:jc w:val="center"/>
            </w:pPr>
            <w:r/>
            <w:r>
              <w:rPr>
                <w:rFonts w:ascii="Arial" w:hAnsi="Arial" w:eastAsia="Noto Sans CJK SC" w:cs="Arial"/>
                <w:b/>
                <w:sz w:val="15"/>
              </w:rPr>
              <w:t>A06</w:t>
            </w:r>
          </w:p>
        </w:tc>
        <w:tc>
          <w:tcPr>
            <w:tcW w:type="dxa" w:w="4608"/>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5"/>
              </w:rPr>
              <w:t>AVTE MT宣言</w:t>
            </w:r>
            <w:r>
              <w:br/>
            </w:r>
            <w:r>
              <w:rPr>
                <w:rFonts w:ascii="Arial" w:hAnsi="Arial" w:eastAsia="Noto Sans CJK SC" w:cs="Arial"/>
                <w:b w:val="0"/>
                <w:sz w:val="15"/>
              </w:rPr>
              <w:t>范围：MT</w:t>
            </w:r>
          </w:p>
        </w:tc>
        <w:tc>
          <w:tcPr>
            <w:tcW w:type="dxa" w:w="9072"/>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5"/>
              </w:rPr>
              <w:t>增强型译者、译者参与设计、合理报酬与作者身份</w:t>
            </w:r>
          </w:p>
        </w:tc>
        <w:tc>
          <w:tcPr>
            <w:tcW w:type="dxa" w:w="7776"/>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5"/>
              </w:rPr>
              <w:t>8/20/21/25/28</w:t>
            </w:r>
          </w:p>
        </w:tc>
      </w:tr>
      <w:tr>
        <w:tc>
          <w:tcPr>
            <w:tcW w:type="dxa" w:w="1080"/>
            <w:vAlign w:val="center"/>
            <w:tcMar>
              <w:top w:w="45" w:type="dxa"/>
              <w:start w:w="55" w:type="dxa"/>
              <w:bottom w:w="45" w:type="dxa"/>
              <w:end w:w="55" w:type="dxa"/>
            </w:tcMar>
          </w:tcPr>
          <w:p>
            <w:pPr>
              <w:spacing w:before="0" w:after="0" w:line="240" w:lineRule="auto"/>
              <w:jc w:val="center"/>
            </w:pPr>
            <w:r/>
            <w:r>
              <w:rPr>
                <w:rFonts w:ascii="Arial" w:hAnsi="Arial" w:eastAsia="Noto Sans CJK SC" w:cs="Arial"/>
                <w:b/>
                <w:sz w:val="15"/>
              </w:rPr>
              <w:t>A07</w:t>
            </w:r>
          </w:p>
        </w:tc>
        <w:tc>
          <w:tcPr>
            <w:tcW w:type="dxa" w:w="460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5"/>
              </w:rPr>
              <w:t>SFT AI立场文件</w:t>
            </w:r>
            <w:r>
              <w:br/>
            </w:r>
            <w:r>
              <w:rPr>
                <w:rFonts w:ascii="Arial" w:hAnsi="Arial" w:eastAsia="Noto Sans CJK SC" w:cs="Arial"/>
                <w:b w:val="0"/>
                <w:sz w:val="15"/>
              </w:rPr>
              <w:t>范围：TI</w:t>
            </w:r>
          </w:p>
        </w:tc>
        <w:tc>
          <w:tcPr>
            <w:tcW w:type="dxa" w:w="9072"/>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5"/>
              </w:rPr>
              <w:t>人类核心、质量、保密、职业生态、报酬与可持续性</w:t>
            </w:r>
          </w:p>
        </w:tc>
        <w:tc>
          <w:tcPr>
            <w:tcW w:type="dxa" w:w="77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5"/>
              </w:rPr>
              <w:t>1/3/5/8/13/16/20/21</w:t>
            </w:r>
          </w:p>
        </w:tc>
      </w:tr>
      <w:tr>
        <w:tc>
          <w:tcPr>
            <w:tcW w:type="dxa" w:w="1080"/>
            <w:vAlign w:val="center"/>
            <w:tcMar>
              <w:top w:w="45" w:type="dxa"/>
              <w:start w:w="55" w:type="dxa"/>
              <w:bottom w:w="45" w:type="dxa"/>
              <w:end w:w="55" w:type="dxa"/>
            </w:tcMar>
            <w:shd w:fill="F7F9FB"/>
          </w:tcPr>
          <w:p>
            <w:pPr>
              <w:spacing w:before="0" w:after="0" w:line="240" w:lineRule="auto"/>
              <w:jc w:val="center"/>
            </w:pPr>
            <w:r/>
            <w:r>
              <w:rPr>
                <w:rFonts w:ascii="Arial" w:hAnsi="Arial" w:eastAsia="Noto Sans CJK SC" w:cs="Arial"/>
                <w:b/>
                <w:sz w:val="15"/>
              </w:rPr>
              <w:t>A08</w:t>
            </w:r>
          </w:p>
        </w:tc>
        <w:tc>
          <w:tcPr>
            <w:tcW w:type="dxa" w:w="4608"/>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5"/>
              </w:rPr>
              <w:t>CIOL AI Voices 2025</w:t>
            </w:r>
            <w:r>
              <w:br/>
            </w:r>
            <w:r>
              <w:rPr>
                <w:rFonts w:ascii="Arial" w:hAnsi="Arial" w:eastAsia="Noto Sans CJK SC" w:cs="Arial"/>
                <w:b w:val="0"/>
                <w:sz w:val="15"/>
              </w:rPr>
              <w:t>范围：TI</w:t>
            </w:r>
          </w:p>
        </w:tc>
        <w:tc>
          <w:tcPr>
            <w:tcW w:type="dxa" w:w="9072"/>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5"/>
              </w:rPr>
              <w:t>AI素养、偏差、隐私、包容、多方协作与公共服务</w:t>
            </w:r>
          </w:p>
        </w:tc>
        <w:tc>
          <w:tcPr>
            <w:tcW w:type="dxa" w:w="7776"/>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5"/>
              </w:rPr>
              <w:t>2/5/11/22/24/27/28</w:t>
            </w:r>
          </w:p>
        </w:tc>
      </w:tr>
      <w:tr>
        <w:tc>
          <w:tcPr>
            <w:tcW w:type="dxa" w:w="1080"/>
            <w:vAlign w:val="center"/>
            <w:tcMar>
              <w:top w:w="45" w:type="dxa"/>
              <w:start w:w="55" w:type="dxa"/>
              <w:bottom w:w="45" w:type="dxa"/>
              <w:end w:w="55" w:type="dxa"/>
            </w:tcMar>
          </w:tcPr>
          <w:p>
            <w:pPr>
              <w:spacing w:before="0" w:after="0" w:line="240" w:lineRule="auto"/>
              <w:jc w:val="center"/>
            </w:pPr>
            <w:r/>
            <w:r>
              <w:rPr>
                <w:rFonts w:ascii="Arial" w:hAnsi="Arial" w:eastAsia="Noto Sans CJK SC" w:cs="Arial"/>
                <w:b/>
                <w:sz w:val="15"/>
              </w:rPr>
              <w:t>A09</w:t>
            </w:r>
          </w:p>
        </w:tc>
        <w:tc>
          <w:tcPr>
            <w:tcW w:type="dxa" w:w="460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5"/>
              </w:rPr>
              <w:t>SAFE-AI口译指南</w:t>
            </w:r>
            <w:r>
              <w:br/>
            </w:r>
            <w:r>
              <w:rPr>
                <w:rFonts w:ascii="Arial" w:hAnsi="Arial" w:eastAsia="Noto Sans CJK SC" w:cs="Arial"/>
                <w:b w:val="0"/>
                <w:sz w:val="15"/>
              </w:rPr>
              <w:t>范围：HAI-I</w:t>
            </w:r>
          </w:p>
        </w:tc>
        <w:tc>
          <w:tcPr>
            <w:tcW w:type="dxa" w:w="9072"/>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5"/>
              </w:rPr>
              <w:t>终端用户自主、风险分级、知情同意、审计、公平与公司问责</w:t>
            </w:r>
          </w:p>
        </w:tc>
        <w:tc>
          <w:tcPr>
            <w:tcW w:type="dxa" w:w="7776"/>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5"/>
              </w:rPr>
              <w:t>8/11/16/22/23/24/27/29</w:t>
            </w:r>
          </w:p>
        </w:tc>
      </w:tr>
      <w:tr>
        <w:tc>
          <w:tcPr>
            <w:tcW w:type="dxa" w:w="1080"/>
            <w:vAlign w:val="center"/>
            <w:tcMar>
              <w:top w:w="45" w:type="dxa"/>
              <w:start w:w="55" w:type="dxa"/>
              <w:bottom w:w="45" w:type="dxa"/>
              <w:end w:w="55" w:type="dxa"/>
            </w:tcMar>
            <w:shd w:fill="F7F9FB"/>
          </w:tcPr>
          <w:p>
            <w:pPr>
              <w:spacing w:before="0" w:after="0" w:line="240" w:lineRule="auto"/>
              <w:jc w:val="center"/>
            </w:pPr>
            <w:r/>
            <w:r>
              <w:rPr>
                <w:rFonts w:ascii="Arial" w:hAnsi="Arial" w:eastAsia="Noto Sans CJK SC" w:cs="Arial"/>
                <w:b/>
                <w:sz w:val="15"/>
              </w:rPr>
              <w:t>A10</w:t>
            </w:r>
          </w:p>
        </w:tc>
        <w:tc>
          <w:tcPr>
            <w:tcW w:type="dxa" w:w="4608"/>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5"/>
              </w:rPr>
              <w:t>AUSIT AI立场文件</w:t>
            </w:r>
            <w:r>
              <w:br/>
            </w:r>
            <w:r>
              <w:rPr>
                <w:rFonts w:ascii="Arial" w:hAnsi="Arial" w:eastAsia="Noto Sans CJK SC" w:cs="Arial"/>
                <w:b w:val="0"/>
                <w:sz w:val="15"/>
              </w:rPr>
              <w:t>范围：TI</w:t>
            </w:r>
          </w:p>
        </w:tc>
        <w:tc>
          <w:tcPr>
            <w:tcW w:type="dxa" w:w="9072"/>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5"/>
              </w:rPr>
              <w:t>场景适用性、披露、质量、人类监督、错误与问责</w:t>
            </w:r>
          </w:p>
        </w:tc>
        <w:tc>
          <w:tcPr>
            <w:tcW w:type="dxa" w:w="7776"/>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5"/>
              </w:rPr>
              <w:t>2/8/10/16/21/22/24/29</w:t>
            </w:r>
          </w:p>
        </w:tc>
      </w:tr>
    </w:tbl>
    <w:p>
      <w:pPr>
        <w:spacing w:before="120" w:after="40" w:line="252" w:lineRule="auto"/>
      </w:pPr>
      <w:r>
        <w:rPr>
          <w:rFonts w:ascii="Arial" w:hAnsi="Arial" w:eastAsia="Noto Sans CJK SC" w:cs="Arial"/>
          <w:b/>
          <w:color w:val="1F4E79"/>
          <w:sz w:val="25"/>
        </w:rPr>
        <w:t>借鉴规则</w:t>
      </w:r>
    </w:p>
    <w:p>
      <w:pPr>
        <w:pStyle w:val="ListBullet"/>
        <w:spacing w:after="20" w:line="250" w:lineRule="auto"/>
      </w:pPr>
      <w:r>
        <w:rPr>
          <w:rFonts w:ascii="Arial" w:hAnsi="Arial" w:eastAsia="Noto Sans CJK SC" w:cs="Arial"/>
          <w:sz w:val="17"/>
        </w:rPr>
        <w:t>从立场文件借鉴“问题与治理方向”，不以其出现频率直接证明某价值具有普遍正当性。</w:t>
      </w:r>
    </w:p>
    <w:p>
      <w:pPr>
        <w:pStyle w:val="ListBullet"/>
        <w:spacing w:after="20" w:line="250" w:lineRule="auto"/>
      </w:pPr>
      <w:r>
        <w:rPr>
          <w:rFonts w:ascii="Arial" w:hAnsi="Arial" w:eastAsia="Noto Sans CJK SC" w:cs="Arial"/>
          <w:sz w:val="17"/>
        </w:rPr>
        <w:t>笔译、视听翻译和MT文件提供的是桥接资源；最终条款必须改写为适合口译实时互动的责任和程序。</w:t>
      </w:r>
    </w:p>
    <w:p>
      <w:pPr>
        <w:pStyle w:val="ListBullet"/>
        <w:spacing w:after="20" w:line="250" w:lineRule="auto"/>
      </w:pPr>
      <w:r>
        <w:rPr>
          <w:rFonts w:ascii="Arial" w:hAnsi="Arial" w:eastAsia="Noto Sans CJK SC" w:cs="Arial"/>
          <w:sz w:val="17"/>
        </w:rPr>
        <w:t>当立场文件与职业守则保护同一价值时，分析其实现机制的变化，例如“保密”如何扩展为数据治理。</w:t>
      </w:r>
    </w:p>
    <w:p>
      <w:pPr>
        <w:pStyle w:val="ListBullet"/>
        <w:spacing w:after="20" w:line="250" w:lineRule="auto"/>
      </w:pPr>
      <w:r>
        <w:rPr>
          <w:rFonts w:ascii="Arial" w:hAnsi="Arial" w:eastAsia="Noto Sans CJK SC" w:cs="Arial"/>
          <w:sz w:val="17"/>
        </w:rPr>
        <w:t>当立场文件提出职业守则中缺失的新维度时，应明确标为AI治理新增，并用伤害风险、权利保护和场景反例完成规范论证。</w:t>
      </w:r>
    </w:p>
    <w:p>
      <w:pPr>
        <w:pStyle w:val="ListBullet"/>
        <w:spacing w:after="20" w:line="250" w:lineRule="auto"/>
      </w:pPr>
      <w:r>
        <w:rPr>
          <w:rFonts w:ascii="Arial" w:hAnsi="Arial" w:eastAsia="Noto Sans CJK SC" w:cs="Arial"/>
          <w:sz w:val="17"/>
        </w:rPr>
        <w:t>论文中应分别报告职业守则、AI立场文件和技术标准的文献身份与效力，避免把三者混为同质语料。</w:t>
      </w:r>
    </w:p>
    <w:p>
      <w:r>
        <w:br w:type="page"/>
      </w:r>
    </w:p>
    <w:p>
      <w:pPr>
        <w:spacing w:before="0" w:after="60" w:line="252" w:lineRule="auto"/>
      </w:pPr>
      <w:r>
        <w:rPr>
          <w:rFonts w:ascii="Arial" w:hAnsi="Arial" w:eastAsia="Noto Sans CJK SC" w:cs="Arial"/>
          <w:b/>
          <w:color w:val="1F4E79"/>
          <w:sz w:val="30"/>
        </w:rPr>
        <w:t>三、四类口译场景压力测试</w:t>
      </w:r>
    </w:p>
    <w:tbl>
      <w:tblPr>
        <w:tblStyle w:val="TableGrid"/>
        <w:tblW w:type="auto" w:w="0"/>
        <w:jc w:val="center"/>
        <w:tblLayout w:type="fixed"/>
        <w:tblLook w:firstColumn="1" w:firstRow="1" w:lastColumn="0" w:lastRow="0" w:noHBand="0" w:noVBand="1" w:val="04A0"/>
      </w:tblPr>
      <w:tblGrid>
        <w:gridCol w:w="11419"/>
        <w:gridCol w:w="11419"/>
      </w:tblGrid>
      <w:tr>
        <w:trPr>
          <w:tblHeader w:val="true"/>
        </w:trPr>
        <w:tc>
          <w:tcPr>
            <w:tcW w:type="dxa" w:w="4031"/>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6"/>
              </w:rPr>
              <w:t>场景</w:t>
            </w:r>
          </w:p>
        </w:tc>
        <w:tc>
          <w:tcPr>
            <w:tcW w:type="dxa" w:w="18432"/>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6"/>
              </w:rPr>
              <w:t>压力条件</w:t>
            </w:r>
          </w:p>
        </w:tc>
      </w:tr>
      <w:tr>
        <w:tc>
          <w:tcPr>
            <w:tcW w:type="dxa" w:w="11419"/>
            <w:vAlign w:val="center"/>
            <w:tcMar>
              <w:top w:w="45" w:type="dxa"/>
              <w:start w:w="55" w:type="dxa"/>
              <w:bottom w:w="45" w:type="dxa"/>
              <w:end w:w="55" w:type="dxa"/>
            </w:tcMar>
          </w:tcPr>
          <w:p>
            <w:pPr>
              <w:spacing w:before="0" w:after="0" w:line="240" w:lineRule="auto"/>
              <w:jc w:val="left"/>
            </w:pPr>
            <w:r/>
            <w:r>
              <w:rPr>
                <w:rFonts w:ascii="Arial" w:hAnsi="Arial" w:eastAsia="Noto Sans CJK SC" w:cs="Arial"/>
                <w:b/>
                <w:sz w:val="16"/>
              </w:rPr>
              <w:t>S1 远程医疗口译</w:t>
            </w:r>
          </w:p>
        </w:tc>
        <w:tc>
          <w:tcPr>
            <w:tcW w:type="dxa" w:w="11419"/>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6"/>
              </w:rPr>
              <w:t>医院使用AI语音识别与自动翻译，人工译员远程监控；涉及病历、声纹、药物剂量、紧急风险与知情同意。</w:t>
            </w:r>
          </w:p>
        </w:tc>
      </w:tr>
      <w:tr>
        <w:tc>
          <w:tcPr>
            <w:tcW w:type="dxa" w:w="11419"/>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sz w:val="16"/>
              </w:rPr>
              <w:t>S2 司法/移民程序</w:t>
            </w:r>
          </w:p>
        </w:tc>
        <w:tc>
          <w:tcPr>
            <w:tcW w:type="dxa" w:w="11419"/>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6"/>
              </w:rPr>
              <w:t>机构拟在庇护面谈或法庭中使用全自动口译；当事人脆弱、难以核验输出，错误可能直接影响权利与程序结果。</w:t>
            </w:r>
          </w:p>
        </w:tc>
      </w:tr>
      <w:tr>
        <w:tc>
          <w:tcPr>
            <w:tcW w:type="dxa" w:w="11419"/>
            <w:vAlign w:val="center"/>
            <w:tcMar>
              <w:top w:w="45" w:type="dxa"/>
              <w:start w:w="55" w:type="dxa"/>
              <w:bottom w:w="45" w:type="dxa"/>
              <w:end w:w="55" w:type="dxa"/>
            </w:tcMar>
          </w:tcPr>
          <w:p>
            <w:pPr>
              <w:spacing w:before="0" w:after="0" w:line="240" w:lineRule="auto"/>
              <w:jc w:val="left"/>
            </w:pPr>
            <w:r/>
            <w:r>
              <w:rPr>
                <w:rFonts w:ascii="Arial" w:hAnsi="Arial" w:eastAsia="Noto Sans CJK SC" w:cs="Arial"/>
                <w:b/>
                <w:sz w:val="16"/>
              </w:rPr>
              <w:t>S3 保密国际会议</w:t>
            </w:r>
          </w:p>
        </w:tc>
        <w:tc>
          <w:tcPr>
            <w:tcW w:type="dxa" w:w="11419"/>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6"/>
              </w:rPr>
              <w:t>会议采用远程同传、云端转写和AI术语提示；涉及商业秘密、延迟、平台故障、译员控制权与人工劳动。</w:t>
            </w:r>
          </w:p>
        </w:tc>
      </w:tr>
      <w:tr>
        <w:tc>
          <w:tcPr>
            <w:tcW w:type="dxa" w:w="11419"/>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sz w:val="16"/>
              </w:rPr>
              <w:t>S4 教育/公共服务可及性</w:t>
            </w:r>
          </w:p>
        </w:tc>
        <w:tc>
          <w:tcPr>
            <w:tcW w:type="dxa" w:w="11419"/>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6"/>
              </w:rPr>
              <w:t>机构面向儿童、聋人/听障者、低资源语言和低数字能力用户部署AI口译，目标是扩大服务覆盖。</w:t>
            </w:r>
          </w:p>
        </w:tc>
      </w:tr>
    </w:tbl>
    <w:p>
      <w:pPr>
        <w:spacing w:before="60" w:after="100" w:line="252" w:lineRule="auto"/>
      </w:pPr>
      <w:r>
        <w:rPr>
          <w:rFonts w:ascii="Arial" w:hAnsi="Arial" w:eastAsia="Noto Sans CJK SC" w:cs="Arial"/>
          <w:b w:val="0"/>
          <w:color w:val="505050"/>
          <w:sz w:val="17"/>
        </w:rPr>
        <w:t>符号：●＝该场景中的核心强制要求；○＝条件性或次级要求；—＝不是该场景的主要压力点，但原则并非失效。</w:t>
      </w:r>
    </w:p>
    <w:p>
      <w:pPr>
        <w:spacing w:before="80" w:after="60" w:line="252" w:lineRule="auto"/>
      </w:pPr>
      <w:r>
        <w:rPr>
          <w:rFonts w:ascii="Arial" w:hAnsi="Arial" w:eastAsia="Noto Sans CJK SC" w:cs="Arial"/>
          <w:b/>
          <w:color w:val="1F4E79"/>
          <w:sz w:val="25"/>
        </w:rPr>
        <w:t>人格、信息与自主权保护</w:t>
      </w:r>
    </w:p>
    <w:tbl>
      <w:tblPr>
        <w:tblStyle w:val="TableGrid"/>
        <w:tblW w:type="auto" w:w="0"/>
        <w:jc w:val="center"/>
        <w:tblLayout w:type="fixed"/>
        <w:tblLook w:firstColumn="1" w:firstRow="1" w:lastColumn="0" w:lastRow="0" w:noHBand="0" w:noVBand="1" w:val="04A0"/>
      </w:tblPr>
      <w:tblGrid>
        <w:gridCol w:w="3806"/>
        <w:gridCol w:w="3806"/>
        <w:gridCol w:w="3806"/>
        <w:gridCol w:w="3806"/>
        <w:gridCol w:w="3806"/>
        <w:gridCol w:w="3806"/>
      </w:tblGrid>
      <w:tr>
        <w:trPr>
          <w:tblHeader w:val="true"/>
        </w:trPr>
        <w:tc>
          <w:tcPr>
            <w:tcW w:type="dxa" w:w="194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一阶维度</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S1 远程医疗</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S2 司法/移民</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S3 保密会议</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S4 教育/公共服务</w:t>
            </w:r>
          </w:p>
        </w:tc>
        <w:tc>
          <w:tcPr>
            <w:tcW w:type="dxa" w:w="4248"/>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验证结论与框架修订</w:t>
            </w:r>
          </w:p>
        </w:tc>
      </w:tr>
      <w:tr>
        <w:trPr>
          <w:cantSplit w:val="false"/>
        </w:trPr>
        <w:tc>
          <w:tcPr>
            <w:tcW w:type="dxa" w:w="1944"/>
            <w:vAlign w:val="center"/>
            <w:tcMar>
              <w:top w:w="45" w:type="dxa"/>
              <w:start w:w="55" w:type="dxa"/>
              <w:bottom w:w="45" w:type="dxa"/>
              <w:end w:w="55" w:type="dxa"/>
            </w:tcMar>
            <w:shd w:fill="E2F0D9"/>
          </w:tcPr>
          <w:p>
            <w:pPr>
              <w:spacing w:before="0" w:after="0" w:line="240" w:lineRule="auto"/>
              <w:jc w:val="left"/>
            </w:pPr>
            <w:r/>
            <w:r>
              <w:rPr>
                <w:rFonts w:ascii="Arial" w:hAnsi="Arial" w:eastAsia="Noto Sans CJK SC" w:cs="Arial"/>
                <w:b/>
                <w:sz w:val="13"/>
              </w:rPr>
              <w:t>1. 保密性</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病历、声纹和问诊音频不得被平台二次训练；需控制录制与团队内披露。</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证词、律师沟通及身份信息属高度敏感；平台与分包商均须守密。</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商业秘密、未发布内容及参会者声音需禁止未经授权留存。</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未成年人、残障与家庭信息需最小化收集，并向监护/用户解释。</w:t>
            </w:r>
          </w:p>
        </w:tc>
        <w:tc>
          <w:tcPr>
            <w:tcW w:type="dxa" w:w="424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通过；框架须同时覆盖个人守密与数据链条安全。</w:t>
            </w:r>
          </w:p>
        </w:tc>
      </w:tr>
      <w:tr>
        <w:trPr>
          <w:cantSplit w:val="false"/>
        </w:trPr>
        <w:tc>
          <w:tcPr>
            <w:tcW w:type="dxa" w:w="1944"/>
            <w:vAlign w:val="center"/>
            <w:tcMar>
              <w:top w:w="45" w:type="dxa"/>
              <w:start w:w="55" w:type="dxa"/>
              <w:bottom w:w="45" w:type="dxa"/>
              <w:end w:w="55" w:type="dxa"/>
            </w:tcMar>
            <w:shd w:fill="E2F0D9"/>
          </w:tcPr>
          <w:p>
            <w:pPr>
              <w:spacing w:before="0" w:after="0" w:line="240" w:lineRule="auto"/>
              <w:jc w:val="left"/>
            </w:pPr>
            <w:r/>
            <w:r>
              <w:rPr>
                <w:rFonts w:ascii="Arial" w:hAnsi="Arial" w:eastAsia="Noto Sans CJK SC" w:cs="Arial"/>
                <w:b/>
                <w:sz w:val="13"/>
              </w:rPr>
              <w:t>11. 隐私/数据保护</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健康、声纹和身份数据实行目的限定、最小化、删除和访问审计。</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证词及生物特征数据不得跨境或二次利用，除非有明确依据。</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云转写、术语库与会议录音须分别说明存储地点和期限。</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儿童、残障和弱势群体数据需更高保护与可撤回选择。</w:t>
            </w:r>
          </w:p>
        </w:tc>
        <w:tc>
          <w:tcPr>
            <w:tcW w:type="dxa" w:w="4248"/>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通过；该维度是传统保密的制度化扩展，而非同义重复。</w:t>
            </w:r>
          </w:p>
        </w:tc>
      </w:tr>
      <w:tr>
        <w:trPr>
          <w:cantSplit w:val="false"/>
        </w:trPr>
        <w:tc>
          <w:tcPr>
            <w:tcW w:type="dxa" w:w="1944"/>
            <w:vAlign w:val="center"/>
            <w:tcMar>
              <w:top w:w="45" w:type="dxa"/>
              <w:start w:w="55" w:type="dxa"/>
              <w:bottom w:w="45" w:type="dxa"/>
              <w:end w:w="55" w:type="dxa"/>
            </w:tcMar>
            <w:shd w:fill="E2F0D9"/>
          </w:tcPr>
          <w:p>
            <w:pPr>
              <w:spacing w:before="0" w:after="0" w:line="240" w:lineRule="auto"/>
              <w:jc w:val="left"/>
            </w:pPr>
            <w:r/>
            <w:r>
              <w:rPr>
                <w:rFonts w:ascii="Arial" w:hAnsi="Arial" w:eastAsia="Noto Sans CJK SC" w:cs="Arial"/>
                <w:b/>
                <w:sz w:val="13"/>
              </w:rPr>
              <w:t>19. 角色界限</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AI不得作诊断或代患者决定；译员不得转为医疗顾问。</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AI不得判断可信性或法律结论；译员不得代替律师/法官。</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术语工具仅提供辅助，不得替译员决定意义或立场。</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系统不得替学生、家长或残障用户作选择。</w:t>
            </w:r>
          </w:p>
        </w:tc>
        <w:tc>
          <w:tcPr>
            <w:tcW w:type="dxa" w:w="424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通过；明确人、系统及领域专业人员的权限边界。</w:t>
            </w:r>
          </w:p>
        </w:tc>
      </w:tr>
      <w:tr>
        <w:trPr>
          <w:cantSplit w:val="false"/>
        </w:trPr>
        <w:tc>
          <w:tcPr>
            <w:tcW w:type="dxa" w:w="1944"/>
            <w:vAlign w:val="center"/>
            <w:tcMar>
              <w:top w:w="45" w:type="dxa"/>
              <w:start w:w="55" w:type="dxa"/>
              <w:bottom w:w="45" w:type="dxa"/>
              <w:end w:w="55" w:type="dxa"/>
            </w:tcMar>
            <w:shd w:fill="E2F0D9"/>
          </w:tcPr>
          <w:p>
            <w:pPr>
              <w:spacing w:before="0" w:after="0" w:line="240" w:lineRule="auto"/>
              <w:jc w:val="left"/>
            </w:pPr>
            <w:r/>
            <w:r>
              <w:rPr>
                <w:rFonts w:ascii="Arial" w:hAnsi="Arial" w:eastAsia="Noto Sans CJK SC" w:cs="Arial"/>
                <w:b/>
                <w:sz w:val="13"/>
              </w:rPr>
              <w:t>24. 知情同意</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AI使用、录音、数据保存须获可理解同意，并提供人工替代。</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权力不对称下不得以捆绑条款强迫接受自动口译。</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与会者对录制、云处理和AI功能可作分项选择。</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未成年人/能力受限者需适当代理与持续同意机制。</w:t>
            </w:r>
          </w:p>
        </w:tc>
        <w:tc>
          <w:tcPr>
            <w:tcW w:type="dxa" w:w="4248"/>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通过；加入无惩罚退出、替代服务和紧急例外记录。</w:t>
            </w:r>
          </w:p>
        </w:tc>
      </w:tr>
      <w:tr>
        <w:trPr>
          <w:cantSplit w:val="false"/>
        </w:trPr>
        <w:tc>
          <w:tcPr>
            <w:tcW w:type="dxa" w:w="1944"/>
            <w:vAlign w:val="center"/>
            <w:tcMar>
              <w:top w:w="45" w:type="dxa"/>
              <w:start w:w="55" w:type="dxa"/>
              <w:bottom w:w="45" w:type="dxa"/>
              <w:end w:w="55" w:type="dxa"/>
            </w:tcMar>
            <w:shd w:fill="E2F0D9"/>
          </w:tcPr>
          <w:p>
            <w:pPr>
              <w:spacing w:before="0" w:after="0" w:line="240" w:lineRule="auto"/>
              <w:jc w:val="left"/>
            </w:pPr>
            <w:r/>
            <w:r>
              <w:rPr>
                <w:rFonts w:ascii="Arial" w:hAnsi="Arial" w:eastAsia="Noto Sans CJK SC" w:cs="Arial"/>
                <w:b/>
                <w:sz w:val="13"/>
              </w:rPr>
              <w:t>26. 尊重当事人/自主权</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患者偏好、尊严与自主决策优先于技术便利。</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当事人有权理解程序、表达异议并获得人类协助。</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与会者有权选择沟通方式并知道AI如何影响互动。</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儿童、聋人和低数字能力用户应参与服务设计与选择。</w:t>
            </w:r>
          </w:p>
        </w:tc>
        <w:tc>
          <w:tcPr>
            <w:tcW w:type="dxa" w:w="424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通过；人本目的构成框架的最高约束。</w:t>
            </w:r>
          </w:p>
        </w:tc>
      </w:tr>
    </w:tbl>
    <w:p>
      <w:pPr>
        <w:spacing w:before="80" w:after="60" w:line="252" w:lineRule="auto"/>
      </w:pPr>
      <w:r>
        <w:rPr>
          <w:rFonts w:ascii="Arial" w:hAnsi="Arial" w:eastAsia="Noto Sans CJK SC" w:cs="Arial"/>
          <w:b/>
          <w:color w:val="1F4E79"/>
          <w:sz w:val="25"/>
        </w:rPr>
        <w:t>沟通真实性与专业可靠性</w:t>
      </w:r>
    </w:p>
    <w:tbl>
      <w:tblPr>
        <w:tblStyle w:val="TableGrid"/>
        <w:tblW w:type="auto" w:w="0"/>
        <w:jc w:val="center"/>
        <w:tblLayout w:type="fixed"/>
        <w:tblLook w:firstColumn="1" w:firstRow="1" w:lastColumn="0" w:lastRow="0" w:noHBand="0" w:noVBand="1" w:val="04A0"/>
      </w:tblPr>
      <w:tblGrid>
        <w:gridCol w:w="3806"/>
        <w:gridCol w:w="3806"/>
        <w:gridCol w:w="3806"/>
        <w:gridCol w:w="3806"/>
        <w:gridCol w:w="3806"/>
        <w:gridCol w:w="3806"/>
      </w:tblGrid>
      <w:tr>
        <w:trPr>
          <w:tblHeader w:val="true"/>
        </w:trPr>
        <w:tc>
          <w:tcPr>
            <w:tcW w:type="dxa" w:w="194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一阶维度</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S1 远程医疗</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S2 司法/移民</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S3 保密会议</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S4 教育/公共服务</w:t>
            </w:r>
          </w:p>
        </w:tc>
        <w:tc>
          <w:tcPr>
            <w:tcW w:type="dxa" w:w="4248"/>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验证结论与框架修订</w:t>
            </w:r>
          </w:p>
        </w:tc>
      </w:tr>
      <w:tr>
        <w:trPr>
          <w:cantSplit w:val="false"/>
        </w:trPr>
        <w:tc>
          <w:tcPr>
            <w:tcW w:type="dxa" w:w="1944"/>
            <w:vAlign w:val="center"/>
            <w:tcMar>
              <w:top w:w="45" w:type="dxa"/>
              <w:start w:w="55" w:type="dxa"/>
              <w:bottom w:w="45" w:type="dxa"/>
              <w:end w:w="55" w:type="dxa"/>
            </w:tcMar>
            <w:shd w:fill="D9EAF7"/>
          </w:tcPr>
          <w:p>
            <w:pPr>
              <w:spacing w:before="0" w:after="0" w:line="240" w:lineRule="auto"/>
              <w:jc w:val="left"/>
            </w:pPr>
            <w:r/>
            <w:r>
              <w:rPr>
                <w:rFonts w:ascii="Arial" w:hAnsi="Arial" w:eastAsia="Noto Sans CJK SC" w:cs="Arial"/>
                <w:b/>
                <w:sz w:val="13"/>
              </w:rPr>
              <w:t>2. 胜任能力</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译员须具备医学、技术与远程沟通能力；系统须通过该语言与场景验证。</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法律术语、程序权利与口音错误容忍度极低；不胜任即禁用。</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译员需熟悉会议主题、平台和AI提示局限；系统更新需再验证。</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需验证儿童、手语、低资源语言及辅助沟通能力。</w:t>
            </w:r>
          </w:p>
        </w:tc>
        <w:tc>
          <w:tcPr>
            <w:tcW w:type="dxa" w:w="424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通过；胜任应定义为“人—系统—工作流”三重适配。</w:t>
            </w:r>
          </w:p>
        </w:tc>
      </w:tr>
      <w:tr>
        <w:trPr>
          <w:cantSplit w:val="false"/>
        </w:trPr>
        <w:tc>
          <w:tcPr>
            <w:tcW w:type="dxa" w:w="1944"/>
            <w:vAlign w:val="center"/>
            <w:tcMar>
              <w:top w:w="45" w:type="dxa"/>
              <w:start w:w="55" w:type="dxa"/>
              <w:bottom w:w="45" w:type="dxa"/>
              <w:end w:w="55" w:type="dxa"/>
            </w:tcMar>
            <w:shd w:fill="D9EAF7"/>
          </w:tcPr>
          <w:p>
            <w:pPr>
              <w:spacing w:before="0" w:after="0" w:line="240" w:lineRule="auto"/>
              <w:jc w:val="left"/>
            </w:pPr>
            <w:r/>
            <w:r>
              <w:rPr>
                <w:rFonts w:ascii="Arial" w:hAnsi="Arial" w:eastAsia="Noto Sans CJK SC" w:cs="Arial"/>
                <w:b/>
                <w:sz w:val="13"/>
              </w:rPr>
              <w:t>3. 忠实/准确</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药名、剂量、症状和风险说明必须完整传达并允许即时核验。</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证词与权利告知不得增删改写；不确定内容必须请求重述。</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术语提示可辅助，但不得覆盖发言者语气、立场与修辞。</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学习内容及服务信息须准确且适合用户理解能力。</w:t>
            </w:r>
          </w:p>
        </w:tc>
        <w:tc>
          <w:tcPr>
            <w:tcW w:type="dxa" w:w="4248"/>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通过；增加“语义、互动与后果”三层准确性。</w:t>
            </w:r>
          </w:p>
        </w:tc>
      </w:tr>
      <w:tr>
        <w:trPr>
          <w:cantSplit w:val="false"/>
        </w:trPr>
        <w:tc>
          <w:tcPr>
            <w:tcW w:type="dxa" w:w="1944"/>
            <w:vAlign w:val="center"/>
            <w:tcMar>
              <w:top w:w="45" w:type="dxa"/>
              <w:start w:w="55" w:type="dxa"/>
              <w:bottom w:w="45" w:type="dxa"/>
              <w:end w:w="55" w:type="dxa"/>
            </w:tcMar>
            <w:shd w:fill="D9EAF7"/>
          </w:tcPr>
          <w:p>
            <w:pPr>
              <w:spacing w:before="0" w:after="0" w:line="240" w:lineRule="auto"/>
              <w:jc w:val="left"/>
            </w:pPr>
            <w:r/>
            <w:r>
              <w:rPr>
                <w:rFonts w:ascii="Arial" w:hAnsi="Arial" w:eastAsia="Noto Sans CJK SC" w:cs="Arial"/>
                <w:b/>
                <w:sz w:val="13"/>
              </w:rPr>
              <w:t>5. 持续专业发展</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需持续更新医学术语、平台安全和AI错误模式。</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法律变化、程序规则及系统版本变更均需培训。</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需演练断线、切换频道、人工接管和术语工具故障。</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需学习无障碍、儿童保护、手语与低资源语言风险。</w:t>
            </w:r>
          </w:p>
        </w:tc>
        <w:tc>
          <w:tcPr>
            <w:tcW w:type="dxa" w:w="424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通过；建立按角色、风险和版本分层的持续培训。</w:t>
            </w:r>
          </w:p>
        </w:tc>
      </w:tr>
      <w:tr>
        <w:trPr>
          <w:cantSplit w:val="false"/>
        </w:trPr>
        <w:tc>
          <w:tcPr>
            <w:tcW w:type="dxa" w:w="1944"/>
            <w:vAlign w:val="center"/>
            <w:tcMar>
              <w:top w:w="45" w:type="dxa"/>
              <w:start w:w="55" w:type="dxa"/>
              <w:bottom w:w="45" w:type="dxa"/>
              <w:end w:w="55" w:type="dxa"/>
            </w:tcMar>
            <w:shd w:fill="D9EAF7"/>
          </w:tcPr>
          <w:p>
            <w:pPr>
              <w:spacing w:before="0" w:after="0" w:line="240" w:lineRule="auto"/>
              <w:jc w:val="left"/>
            </w:pPr>
            <w:r/>
            <w:r>
              <w:rPr>
                <w:rFonts w:ascii="Arial" w:hAnsi="Arial" w:eastAsia="Noto Sans CJK SC" w:cs="Arial"/>
                <w:b/>
                <w:sz w:val="13"/>
              </w:rPr>
              <w:t>8. 质量保证</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高风险术语、药物和知情同意内容须抽检并保留人工接管。</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部署前须按法律场景测试；每次重大错误需复盘。</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会前测试音频、术语、延迟与备援；会中实时监测。</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每种语言/沟通方式应单独报告性能与失败率。</w:t>
            </w:r>
          </w:p>
        </w:tc>
        <w:tc>
          <w:tcPr>
            <w:tcW w:type="dxa" w:w="4248"/>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通过；质量保证须贯穿准入、运行、事后和版本更新。</w:t>
            </w:r>
          </w:p>
        </w:tc>
      </w:tr>
      <w:tr>
        <w:trPr>
          <w:cantSplit w:val="false"/>
        </w:trPr>
        <w:tc>
          <w:tcPr>
            <w:tcW w:type="dxa" w:w="1944"/>
            <w:vAlign w:val="center"/>
            <w:tcMar>
              <w:top w:w="45" w:type="dxa"/>
              <w:start w:w="55" w:type="dxa"/>
              <w:bottom w:w="45" w:type="dxa"/>
              <w:end w:w="55" w:type="dxa"/>
            </w:tcMar>
            <w:shd w:fill="D9EAF7"/>
          </w:tcPr>
          <w:p>
            <w:pPr>
              <w:spacing w:before="0" w:after="0" w:line="240" w:lineRule="auto"/>
              <w:jc w:val="left"/>
            </w:pPr>
            <w:r/>
            <w:r>
              <w:rPr>
                <w:rFonts w:ascii="Arial" w:hAnsi="Arial" w:eastAsia="Noto Sans CJK SC" w:cs="Arial"/>
                <w:b/>
                <w:sz w:val="13"/>
              </w:rPr>
              <w:t>9. 文化/语言能力</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医患文化、健康观念、语气和非言语信息需由人类判断。</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方言、礼貌策略与制度概念不可仅凭字面转换。</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幽默、外交措辞、身份称谓及文化暗示需语境化。</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需尊重手语文化、儿童发展阶段及原住民语言规范。</w:t>
            </w:r>
          </w:p>
        </w:tc>
        <w:tc>
          <w:tcPr>
            <w:tcW w:type="dxa" w:w="424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通过；系统平均性能不能替代语境与文化适切性。</w:t>
            </w:r>
          </w:p>
        </w:tc>
      </w:tr>
      <w:tr>
        <w:trPr>
          <w:cantSplit w:val="false"/>
        </w:trPr>
        <w:tc>
          <w:tcPr>
            <w:tcW w:type="dxa" w:w="1944"/>
            <w:vAlign w:val="center"/>
            <w:tcMar>
              <w:top w:w="45" w:type="dxa"/>
              <w:start w:w="55" w:type="dxa"/>
              <w:bottom w:w="45" w:type="dxa"/>
              <w:end w:w="55" w:type="dxa"/>
            </w:tcMar>
            <w:shd w:fill="D9EAF7"/>
          </w:tcPr>
          <w:p>
            <w:pPr>
              <w:spacing w:before="0" w:after="0" w:line="240" w:lineRule="auto"/>
              <w:jc w:val="left"/>
            </w:pPr>
            <w:r/>
            <w:r>
              <w:rPr>
                <w:rFonts w:ascii="Arial" w:hAnsi="Arial" w:eastAsia="Noto Sans CJK SC" w:cs="Arial"/>
                <w:b/>
                <w:sz w:val="13"/>
              </w:rPr>
              <w:t>10. 错误更正义务</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剂量或诊断错误应立即打断、纠正并告知受影响者。</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影响证据或权利的错误须当庭/当场更正并留痕。</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术语提示误导或漏译须即时覆盖，必要时会后更正记录。</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学习或服务错误应以用户可理解方式纠正并提供补救。</w:t>
            </w:r>
          </w:p>
        </w:tc>
        <w:tc>
          <w:tcPr>
            <w:tcW w:type="dxa" w:w="4248"/>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通过；补充即时纠错、事后补救与系统反馈三层机制。</w:t>
            </w:r>
          </w:p>
        </w:tc>
      </w:tr>
    </w:tbl>
    <w:p>
      <w:pPr>
        <w:spacing w:before="80" w:after="60" w:line="252" w:lineRule="auto"/>
      </w:pPr>
      <w:r>
        <w:rPr>
          <w:rFonts w:ascii="Arial" w:hAnsi="Arial" w:eastAsia="Noto Sans CJK SC" w:cs="Arial"/>
          <w:b/>
          <w:color w:val="1F4E79"/>
          <w:sz w:val="25"/>
        </w:rPr>
        <w:t>职业诚信与合作关系</w:t>
      </w:r>
    </w:p>
    <w:tbl>
      <w:tblPr>
        <w:tblStyle w:val="TableGrid"/>
        <w:tblW w:type="auto" w:w="0"/>
        <w:jc w:val="center"/>
        <w:tblLayout w:type="fixed"/>
        <w:tblLook w:firstColumn="1" w:firstRow="1" w:lastColumn="0" w:lastRow="0" w:noHBand="0" w:noVBand="1" w:val="04A0"/>
      </w:tblPr>
      <w:tblGrid>
        <w:gridCol w:w="3806"/>
        <w:gridCol w:w="3806"/>
        <w:gridCol w:w="3806"/>
        <w:gridCol w:w="3806"/>
        <w:gridCol w:w="3806"/>
        <w:gridCol w:w="3806"/>
      </w:tblGrid>
      <w:tr>
        <w:trPr>
          <w:tblHeader w:val="true"/>
        </w:trPr>
        <w:tc>
          <w:tcPr>
            <w:tcW w:type="dxa" w:w="194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一阶维度</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S1 远程医疗</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S2 司法/移民</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S3 保密会议</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S4 教育/公共服务</w:t>
            </w:r>
          </w:p>
        </w:tc>
        <w:tc>
          <w:tcPr>
            <w:tcW w:type="dxa" w:w="4248"/>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验证结论与框架修订</w:t>
            </w:r>
          </w:p>
        </w:tc>
      </w:tr>
      <w:tr>
        <w:trPr>
          <w:cantSplit w:val="false"/>
        </w:trPr>
        <w:tc>
          <w:tcPr>
            <w:tcW w:type="dxa" w:w="1944"/>
            <w:vAlign w:val="center"/>
            <w:tcMar>
              <w:top w:w="45" w:type="dxa"/>
              <w:start w:w="55" w:type="dxa"/>
              <w:bottom w:w="45" w:type="dxa"/>
              <w:end w:w="55" w:type="dxa"/>
            </w:tcMar>
            <w:shd w:fill="FCE4D6"/>
          </w:tcPr>
          <w:p>
            <w:pPr>
              <w:spacing w:before="0" w:after="0" w:line="240" w:lineRule="auto"/>
              <w:jc w:val="left"/>
            </w:pPr>
            <w:r/>
            <w:r>
              <w:rPr>
                <w:rFonts w:ascii="Arial" w:hAnsi="Arial" w:eastAsia="Noto Sans CJK SC" w:cs="Arial"/>
                <w:b/>
                <w:sz w:val="13"/>
              </w:rPr>
              <w:t>4. 诚信/职业操守</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不得夸大AI医疗能力或隐瞒人工监控不足。</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不得把机器输出包装为合格法定口译或规避程序保障。</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服务方须真实说明AI参与、保密安排与审核水平。</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不得以“普惠”宣传掩盖低资源语言性能不足。</w:t>
            </w:r>
          </w:p>
        </w:tc>
        <w:tc>
          <w:tcPr>
            <w:tcW w:type="dxa" w:w="424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通过；诚信义务须扩展至供应商营销与机构采购。</w:t>
            </w:r>
          </w:p>
        </w:tc>
      </w:tr>
      <w:tr>
        <w:trPr>
          <w:cantSplit w:val="false"/>
        </w:trPr>
        <w:tc>
          <w:tcPr>
            <w:tcW w:type="dxa" w:w="1944"/>
            <w:vAlign w:val="center"/>
            <w:tcMar>
              <w:top w:w="45" w:type="dxa"/>
              <w:start w:w="55" w:type="dxa"/>
              <w:bottom w:w="45" w:type="dxa"/>
              <w:end w:w="55" w:type="dxa"/>
            </w:tcMar>
            <w:shd w:fill="FCE4D6"/>
          </w:tcPr>
          <w:p>
            <w:pPr>
              <w:spacing w:before="0" w:after="0" w:line="240" w:lineRule="auto"/>
              <w:jc w:val="left"/>
            </w:pPr>
            <w:r/>
            <w:r>
              <w:rPr>
                <w:rFonts w:ascii="Arial" w:hAnsi="Arial" w:eastAsia="Noto Sans CJK SC" w:cs="Arial"/>
                <w:b/>
                <w:sz w:val="13"/>
              </w:rPr>
              <w:t>6. 合同/承诺遵守</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合同须明确录制、数据用途、人工备援和紧急故障处置。</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采购与服务协议须明确法定资质、责任、申诉与记录保存。</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会前约定AI功能、保密级别、数据存储和备用通道。</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服务协议须说明可选模式、费用、数据和人工替代。</w:t>
            </w:r>
          </w:p>
        </w:tc>
        <w:tc>
          <w:tcPr>
            <w:tcW w:type="dxa" w:w="4248"/>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通过；补充重大模式变更须重新告知和确认。</w:t>
            </w:r>
          </w:p>
        </w:tc>
      </w:tr>
      <w:tr>
        <w:trPr>
          <w:cantSplit w:val="false"/>
        </w:trPr>
        <w:tc>
          <w:tcPr>
            <w:tcW w:type="dxa" w:w="1944"/>
            <w:vAlign w:val="center"/>
            <w:tcMar>
              <w:top w:w="45" w:type="dxa"/>
              <w:start w:w="55" w:type="dxa"/>
              <w:bottom w:w="45" w:type="dxa"/>
              <w:end w:w="55" w:type="dxa"/>
            </w:tcMar>
            <w:shd w:fill="FCE4D6"/>
          </w:tcPr>
          <w:p>
            <w:pPr>
              <w:spacing w:before="0" w:after="0" w:line="240" w:lineRule="auto"/>
              <w:jc w:val="left"/>
            </w:pPr>
            <w:r/>
            <w:r>
              <w:rPr>
                <w:rFonts w:ascii="Arial" w:hAnsi="Arial" w:eastAsia="Noto Sans CJK SC" w:cs="Arial"/>
                <w:b/>
                <w:sz w:val="13"/>
              </w:rPr>
              <w:t>14. 同业团结/合作</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共享非机密的医疗AI错误模式和安全经验。</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法律口译同行应报告系统性失误并维护最低专业标准。</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不以AI恶意压价或贬损同行；共享安全与备援经验。</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建立跨机构事故学习和专业支持网络。</w:t>
            </w:r>
          </w:p>
        </w:tc>
        <w:tc>
          <w:tcPr>
            <w:tcW w:type="dxa" w:w="424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通过；同业团结应服务于标准和安全，而非行业封闭。</w:t>
            </w:r>
          </w:p>
        </w:tc>
      </w:tr>
      <w:tr>
        <w:trPr>
          <w:cantSplit w:val="false"/>
        </w:trPr>
        <w:tc>
          <w:tcPr>
            <w:tcW w:type="dxa" w:w="1944"/>
            <w:vAlign w:val="center"/>
            <w:tcMar>
              <w:top w:w="45" w:type="dxa"/>
              <w:start w:w="55" w:type="dxa"/>
              <w:bottom w:w="45" w:type="dxa"/>
              <w:end w:w="55" w:type="dxa"/>
            </w:tcMar>
            <w:shd w:fill="FCE4D6"/>
          </w:tcPr>
          <w:p>
            <w:pPr>
              <w:spacing w:before="0" w:after="0" w:line="240" w:lineRule="auto"/>
              <w:jc w:val="left"/>
            </w:pPr>
            <w:r/>
            <w:r>
              <w:rPr>
                <w:rFonts w:ascii="Arial" w:hAnsi="Arial" w:eastAsia="Noto Sans CJK SC" w:cs="Arial"/>
                <w:b/>
                <w:sz w:val="13"/>
              </w:rPr>
              <w:t>15. 利益冲突披露</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译员或机构与AI供应商有经济关系时须披露。</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采购者、专家或口译员与供应商存在利益关系时须回避或管理。</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推荐特定平台、设备或服务时应披露佣金与合作关系。</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公共项目采购与研究资助冲突须独立审查。</w:t>
            </w:r>
          </w:p>
        </w:tc>
        <w:tc>
          <w:tcPr>
            <w:tcW w:type="dxa" w:w="4248"/>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通过；技术采购把传统利益冲突扩展到机构层面。</w:t>
            </w:r>
          </w:p>
        </w:tc>
      </w:tr>
      <w:tr>
        <w:trPr>
          <w:cantSplit w:val="false"/>
        </w:trPr>
        <w:tc>
          <w:tcPr>
            <w:tcW w:type="dxa" w:w="1944"/>
            <w:vAlign w:val="center"/>
            <w:tcMar>
              <w:top w:w="45" w:type="dxa"/>
              <w:start w:w="55" w:type="dxa"/>
              <w:bottom w:w="45" w:type="dxa"/>
              <w:end w:w="55" w:type="dxa"/>
            </w:tcMar>
            <w:shd w:fill="FCE4D6"/>
          </w:tcPr>
          <w:p>
            <w:pPr>
              <w:spacing w:before="0" w:after="0" w:line="240" w:lineRule="auto"/>
              <w:jc w:val="left"/>
            </w:pPr>
            <w:r/>
            <w:r>
              <w:rPr>
                <w:rFonts w:ascii="Arial" w:hAnsi="Arial" w:eastAsia="Noto Sans CJK SC" w:cs="Arial"/>
                <w:b/>
                <w:sz w:val="13"/>
              </w:rPr>
              <w:t>28. 跨专业协作</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口译、医护、信息安全与伦理人员联合评估并处置事故。</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口译、法律、技术、采购与监管主体共同制定使用边界。</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译员、会务、IT和保密负责人共同测试与备援。</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教师、残障专家、社区代表和开发者参与治理。</w:t>
            </w:r>
          </w:p>
        </w:tc>
        <w:tc>
          <w:tcPr>
            <w:tcW w:type="dxa" w:w="424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通过；协作须保持角色清晰、最小共享和独立专业判断。</w:t>
            </w:r>
          </w:p>
        </w:tc>
      </w:tr>
    </w:tbl>
    <w:p>
      <w:pPr>
        <w:spacing w:before="80" w:after="60" w:line="252" w:lineRule="auto"/>
      </w:pPr>
      <w:r>
        <w:rPr>
          <w:rFonts w:ascii="Arial" w:hAnsi="Arial" w:eastAsia="Noto Sans CJK SC" w:cs="Arial"/>
          <w:b/>
          <w:color w:val="1F4E79"/>
          <w:sz w:val="25"/>
        </w:rPr>
        <w:t>正义、权利与公平参与</w:t>
      </w:r>
    </w:p>
    <w:tbl>
      <w:tblPr>
        <w:tblStyle w:val="TableGrid"/>
        <w:tblW w:type="auto" w:w="0"/>
        <w:jc w:val="center"/>
        <w:tblLayout w:type="fixed"/>
        <w:tblLook w:firstColumn="1" w:firstRow="1" w:lastColumn="0" w:lastRow="0" w:noHBand="0" w:noVBand="1" w:val="04A0"/>
      </w:tblPr>
      <w:tblGrid>
        <w:gridCol w:w="3806"/>
        <w:gridCol w:w="3806"/>
        <w:gridCol w:w="3806"/>
        <w:gridCol w:w="3806"/>
        <w:gridCol w:w="3806"/>
        <w:gridCol w:w="3806"/>
      </w:tblGrid>
      <w:tr>
        <w:trPr>
          <w:tblHeader w:val="true"/>
        </w:trPr>
        <w:tc>
          <w:tcPr>
            <w:tcW w:type="dxa" w:w="194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一阶维度</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S1 远程医疗</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S2 司法/移民</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S3 保密会议</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S4 教育/公共服务</w:t>
            </w:r>
          </w:p>
        </w:tc>
        <w:tc>
          <w:tcPr>
            <w:tcW w:type="dxa" w:w="4248"/>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验证结论与框架修订</w:t>
            </w:r>
          </w:p>
        </w:tc>
      </w:tr>
      <w:tr>
        <w:trPr>
          <w:cantSplit w:val="false"/>
        </w:trPr>
        <w:tc>
          <w:tcPr>
            <w:tcW w:type="dxa" w:w="1944"/>
            <w:vAlign w:val="center"/>
            <w:tcMar>
              <w:top w:w="45" w:type="dxa"/>
              <w:start w:w="55" w:type="dxa"/>
              <w:bottom w:w="45" w:type="dxa"/>
              <w:end w:w="55" w:type="dxa"/>
            </w:tcMar>
            <w:shd w:fill="FFF2CC"/>
          </w:tcPr>
          <w:p>
            <w:pPr>
              <w:spacing w:before="0" w:after="0" w:line="240" w:lineRule="auto"/>
              <w:jc w:val="left"/>
            </w:pPr>
            <w:r/>
            <w:r>
              <w:rPr>
                <w:rFonts w:ascii="Arial" w:hAnsi="Arial" w:eastAsia="Noto Sans CJK SC" w:cs="Arial"/>
                <w:b/>
                <w:sz w:val="13"/>
              </w:rPr>
              <w:t>7. 公平/中立</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不应因患者语言、口音、身份或支付能力降低服务质量。</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系统偏差或界面设计不得影响任何一方的程序权利。</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译员与系统不得偏向主办方或技术提供方的利益。</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需防止低资源语言、残障用户和儿童被系统性排除。</w:t>
            </w:r>
          </w:p>
        </w:tc>
        <w:tc>
          <w:tcPr>
            <w:tcW w:type="dxa" w:w="424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通过；区分人类中立、程序公平与算法公平。</w:t>
            </w:r>
          </w:p>
        </w:tc>
      </w:tr>
      <w:tr>
        <w:trPr>
          <w:cantSplit w:val="false"/>
        </w:trPr>
        <w:tc>
          <w:tcPr>
            <w:tcW w:type="dxa" w:w="1944"/>
            <w:vAlign w:val="center"/>
            <w:tcMar>
              <w:top w:w="45" w:type="dxa"/>
              <w:start w:w="55" w:type="dxa"/>
              <w:bottom w:w="45" w:type="dxa"/>
              <w:end w:w="55" w:type="dxa"/>
            </w:tcMar>
            <w:shd w:fill="FFF2CC"/>
          </w:tcPr>
          <w:p>
            <w:pPr>
              <w:spacing w:before="0" w:after="0" w:line="240" w:lineRule="auto"/>
              <w:jc w:val="left"/>
            </w:pPr>
            <w:r/>
            <w:r>
              <w:rPr>
                <w:rFonts w:ascii="Arial" w:hAnsi="Arial" w:eastAsia="Noto Sans CJK SC" w:cs="Arial"/>
                <w:b/>
                <w:sz w:val="13"/>
              </w:rPr>
              <w:t>17. 知识产权保护</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病历、医学语料和录音的授权与再利用边界须明确。</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法律文书、证据及专有数据库不得被未经授权训练。</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演讲稿、术语库、会议材料及译员产出需授权和来源追踪。</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教材、手语视频及社区语料须尊重集体与个人权利。</w:t>
            </w:r>
          </w:p>
        </w:tc>
        <w:tc>
          <w:tcPr>
            <w:tcW w:type="dxa" w:w="4248"/>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通过；知识产权审查须与隐私、同意分别进行。</w:t>
            </w:r>
          </w:p>
        </w:tc>
      </w:tr>
      <w:tr>
        <w:trPr>
          <w:cantSplit w:val="false"/>
        </w:trPr>
        <w:tc>
          <w:tcPr>
            <w:tcW w:type="dxa" w:w="1944"/>
            <w:vAlign w:val="center"/>
            <w:tcMar>
              <w:top w:w="45" w:type="dxa"/>
              <w:start w:w="55" w:type="dxa"/>
              <w:bottom w:w="45" w:type="dxa"/>
              <w:end w:w="55" w:type="dxa"/>
            </w:tcMar>
            <w:shd w:fill="FFF2CC"/>
          </w:tcPr>
          <w:p>
            <w:pPr>
              <w:spacing w:before="0" w:after="0" w:line="240" w:lineRule="auto"/>
              <w:jc w:val="left"/>
            </w:pPr>
            <w:r/>
            <w:r>
              <w:rPr>
                <w:rFonts w:ascii="Arial" w:hAnsi="Arial" w:eastAsia="Noto Sans CJK SC" w:cs="Arial"/>
                <w:b/>
                <w:sz w:val="13"/>
              </w:rPr>
              <w:t>20. 公平报酬</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报酬应覆盖准备、监控、纠错、风险与待命。</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不得以自动化为由取消合格口译预算或转嫁法律风险。</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效率收益不应全部转化为压价；保密和技术准备属于劳动。</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公共服务节约成本不得导致低质或无人工替代。</w:t>
            </w:r>
          </w:p>
        </w:tc>
        <w:tc>
          <w:tcPr>
            <w:tcW w:type="dxa" w:w="424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通过；该原则主要保护劳动可持续性，场景权重不同。</w:t>
            </w:r>
          </w:p>
        </w:tc>
      </w:tr>
      <w:tr>
        <w:trPr>
          <w:cantSplit w:val="false"/>
        </w:trPr>
        <w:tc>
          <w:tcPr>
            <w:tcW w:type="dxa" w:w="1944"/>
            <w:vAlign w:val="center"/>
            <w:tcMar>
              <w:top w:w="45" w:type="dxa"/>
              <w:start w:w="55" w:type="dxa"/>
              <w:bottom w:w="45" w:type="dxa"/>
              <w:end w:w="55" w:type="dxa"/>
            </w:tcMar>
            <w:shd w:fill="FFF2CC"/>
          </w:tcPr>
          <w:p>
            <w:pPr>
              <w:spacing w:before="0" w:after="0" w:line="240" w:lineRule="auto"/>
              <w:jc w:val="left"/>
            </w:pPr>
            <w:r/>
            <w:r>
              <w:rPr>
                <w:rFonts w:ascii="Arial" w:hAnsi="Arial" w:eastAsia="Noto Sans CJK SC" w:cs="Arial"/>
                <w:b/>
                <w:sz w:val="13"/>
              </w:rPr>
              <w:t>22. 算法公平</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分语言、口音、性别和健康场景评估差异性错误。</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重点检查少数语言、方言和弱势当事人的程序性损害。</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评估专业术语、非母语口音及地域语言偏差。</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低资源语言、手语和残障群体须单独测试与公开。</w:t>
            </w:r>
          </w:p>
        </w:tc>
        <w:tc>
          <w:tcPr>
            <w:tcW w:type="dxa" w:w="4248"/>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通过；总体平均准确率不足以证明公平。</w:t>
            </w:r>
          </w:p>
        </w:tc>
      </w:tr>
      <w:tr>
        <w:trPr>
          <w:cantSplit w:val="false"/>
        </w:trPr>
        <w:tc>
          <w:tcPr>
            <w:tcW w:type="dxa" w:w="1944"/>
            <w:vAlign w:val="center"/>
            <w:tcMar>
              <w:top w:w="45" w:type="dxa"/>
              <w:start w:w="55" w:type="dxa"/>
              <w:bottom w:w="45" w:type="dxa"/>
              <w:end w:w="55" w:type="dxa"/>
            </w:tcMar>
            <w:shd w:fill="FFF2CC"/>
          </w:tcPr>
          <w:p>
            <w:pPr>
              <w:spacing w:before="0" w:after="0" w:line="240" w:lineRule="auto"/>
              <w:jc w:val="left"/>
            </w:pPr>
            <w:r/>
            <w:r>
              <w:rPr>
                <w:rFonts w:ascii="Arial" w:hAnsi="Arial" w:eastAsia="Noto Sans CJK SC" w:cs="Arial"/>
                <w:b/>
                <w:sz w:val="13"/>
              </w:rPr>
              <w:t>25. 译者著作权利</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译员声音、术语整理和译文不得默认用于训练或克隆。</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法律口译记录的再利用不得抹除译员署名与约定权利。</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会议口译产出、声音和术语资产的再商业化须另行授权。</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手语视频与教育材料中的译员表演权需明确。</w:t>
            </w:r>
          </w:p>
        </w:tc>
        <w:tc>
          <w:tcPr>
            <w:tcW w:type="dxa" w:w="424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通过；口译需把著作权问题扩展到声音、表演和训练数据。</w:t>
            </w:r>
          </w:p>
        </w:tc>
      </w:tr>
      <w:tr>
        <w:trPr>
          <w:cantSplit w:val="false"/>
        </w:trPr>
        <w:tc>
          <w:tcPr>
            <w:tcW w:type="dxa" w:w="1944"/>
            <w:vAlign w:val="center"/>
            <w:tcMar>
              <w:top w:w="45" w:type="dxa"/>
              <w:start w:w="55" w:type="dxa"/>
              <w:bottom w:w="45" w:type="dxa"/>
              <w:end w:w="55" w:type="dxa"/>
            </w:tcMar>
            <w:shd w:fill="FFF2CC"/>
          </w:tcPr>
          <w:p>
            <w:pPr>
              <w:spacing w:before="0" w:after="0" w:line="240" w:lineRule="auto"/>
              <w:jc w:val="left"/>
            </w:pPr>
            <w:r/>
            <w:r>
              <w:rPr>
                <w:rFonts w:ascii="Arial" w:hAnsi="Arial" w:eastAsia="Noto Sans CJK SC" w:cs="Arial"/>
                <w:b/>
                <w:sz w:val="13"/>
              </w:rPr>
              <w:t>27. 语言可及性/无障碍保障</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支持听障、认知障碍及不同读写能力患者。</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不得因语言或残障而降低程序保障；需提供适当辅助。</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平台、字幕、音频和界面须满足多种参与需求。</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重点验证低资源语言、手语、儿童和设备受限用户。</w:t>
            </w:r>
          </w:p>
        </w:tc>
        <w:tc>
          <w:tcPr>
            <w:tcW w:type="dxa" w:w="4248"/>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通过；可及性须衡量实际参与结果，而非仅有工具可用。</w:t>
            </w:r>
          </w:p>
        </w:tc>
      </w:tr>
    </w:tbl>
    <w:p>
      <w:pPr>
        <w:spacing w:before="80" w:after="60" w:line="252" w:lineRule="auto"/>
      </w:pPr>
      <w:r>
        <w:rPr>
          <w:rFonts w:ascii="Arial" w:hAnsi="Arial" w:eastAsia="Noto Sans CJK SC" w:cs="Arial"/>
          <w:b/>
          <w:color w:val="1F4E79"/>
          <w:sz w:val="25"/>
        </w:rPr>
        <w:t>避免伤害与公共责任</w:t>
      </w:r>
    </w:p>
    <w:tbl>
      <w:tblPr>
        <w:tblStyle w:val="TableGrid"/>
        <w:tblW w:type="auto" w:w="0"/>
        <w:jc w:val="center"/>
        <w:tblLayout w:type="fixed"/>
        <w:tblLook w:firstColumn="1" w:firstRow="1" w:lastColumn="0" w:lastRow="0" w:noHBand="0" w:noVBand="1" w:val="04A0"/>
      </w:tblPr>
      <w:tblGrid>
        <w:gridCol w:w="3806"/>
        <w:gridCol w:w="3806"/>
        <w:gridCol w:w="3806"/>
        <w:gridCol w:w="3806"/>
        <w:gridCol w:w="3806"/>
        <w:gridCol w:w="3806"/>
      </w:tblGrid>
      <w:tr>
        <w:trPr>
          <w:tblHeader w:val="true"/>
        </w:trPr>
        <w:tc>
          <w:tcPr>
            <w:tcW w:type="dxa" w:w="194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一阶维度</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S1 远程医疗</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S2 司法/移民</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S3 保密会议</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S4 教育/公共服务</w:t>
            </w:r>
          </w:p>
        </w:tc>
        <w:tc>
          <w:tcPr>
            <w:tcW w:type="dxa" w:w="4248"/>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验证结论与框架修订</w:t>
            </w:r>
          </w:p>
        </w:tc>
      </w:tr>
      <w:tr>
        <w:trPr>
          <w:cantSplit w:val="false"/>
        </w:trPr>
        <w:tc>
          <w:tcPr>
            <w:tcW w:type="dxa" w:w="1944"/>
            <w:vAlign w:val="center"/>
            <w:tcMar>
              <w:top w:w="45" w:type="dxa"/>
              <w:start w:w="55" w:type="dxa"/>
              <w:bottom w:w="45" w:type="dxa"/>
              <w:end w:w="55" w:type="dxa"/>
            </w:tcMar>
            <w:shd w:fill="F4CCCC"/>
          </w:tcPr>
          <w:p>
            <w:pPr>
              <w:spacing w:before="0" w:after="0" w:line="240" w:lineRule="auto"/>
              <w:jc w:val="left"/>
            </w:pPr>
            <w:r/>
            <w:r>
              <w:rPr>
                <w:rFonts w:ascii="Arial" w:hAnsi="Arial" w:eastAsia="Noto Sans CJK SC" w:cs="Arial"/>
                <w:b/>
                <w:sz w:val="13"/>
              </w:rPr>
              <w:t>12. 拒绝有害工作</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系统无法可靠处理急救、精神危机或复杂知情同意时须停用。</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全自动口译无法保障公平程序时应拒绝部署并改用人工。</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涉及重大泄密、操纵或无法监控的工具应拒用。</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对弱势用户造成持续排除或伤害时须停止并提供替代。</w:t>
            </w:r>
          </w:p>
        </w:tc>
        <w:tc>
          <w:tcPr>
            <w:tcW w:type="dxa" w:w="424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通过；加入风险分级禁用清单与紧急例外条件。</w:t>
            </w:r>
          </w:p>
        </w:tc>
      </w:tr>
      <w:tr>
        <w:trPr>
          <w:cantSplit w:val="false"/>
        </w:trPr>
        <w:tc>
          <w:tcPr>
            <w:tcW w:type="dxa" w:w="1944"/>
            <w:vAlign w:val="center"/>
            <w:tcMar>
              <w:top w:w="45" w:type="dxa"/>
              <w:start w:w="55" w:type="dxa"/>
              <w:bottom w:w="45" w:type="dxa"/>
              <w:end w:w="55" w:type="dxa"/>
            </w:tcMar>
            <w:shd w:fill="F4CCCC"/>
          </w:tcPr>
          <w:p>
            <w:pPr>
              <w:spacing w:before="0" w:after="0" w:line="240" w:lineRule="auto"/>
              <w:jc w:val="left"/>
            </w:pPr>
            <w:r/>
            <w:r>
              <w:rPr>
                <w:rFonts w:ascii="Arial" w:hAnsi="Arial" w:eastAsia="Noto Sans CJK SC" w:cs="Arial"/>
                <w:b/>
                <w:sz w:val="13"/>
              </w:rPr>
              <w:t>13. 社会责任</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评估AI对患者信任、医疗不平等和公共健康的长期影响。</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评估自动口译对司法公正、权利保障和制度信任的影响。</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考虑职业生态、能源消耗与语言多样性。</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关注数字鸿沟、低资源语言和公共服务平等。</w:t>
            </w:r>
          </w:p>
        </w:tc>
        <w:tc>
          <w:tcPr>
            <w:tcW w:type="dxa" w:w="4248"/>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通过；公共责任不得成为突破个体权利的泛化理由。</w:t>
            </w:r>
          </w:p>
        </w:tc>
      </w:tr>
    </w:tbl>
    <w:p>
      <w:pPr>
        <w:pageBreakBefore/>
        <w:spacing w:before="80" w:after="60" w:line="252" w:lineRule="auto"/>
      </w:pPr>
      <w:r>
        <w:rPr>
          <w:rFonts w:ascii="Arial" w:hAnsi="Arial" w:eastAsia="Noto Sans CJK SC" w:cs="Arial"/>
          <w:b/>
          <w:color w:val="1F4E79"/>
          <w:sz w:val="25"/>
        </w:rPr>
        <w:t>透明、技术控制与责任治理</w:t>
      </w:r>
    </w:p>
    <w:tbl>
      <w:tblPr>
        <w:tblStyle w:val="TableGrid"/>
        <w:tblW w:type="auto" w:w="0"/>
        <w:jc w:val="center"/>
        <w:tblLayout w:type="fixed"/>
        <w:tblLook w:firstColumn="1" w:firstRow="1" w:lastColumn="0" w:lastRow="0" w:noHBand="0" w:noVBand="1" w:val="04A0"/>
      </w:tblPr>
      <w:tblGrid>
        <w:gridCol w:w="3806"/>
        <w:gridCol w:w="3806"/>
        <w:gridCol w:w="3806"/>
        <w:gridCol w:w="3806"/>
        <w:gridCol w:w="3806"/>
        <w:gridCol w:w="3806"/>
      </w:tblGrid>
      <w:tr>
        <w:trPr>
          <w:tblHeader w:val="true"/>
        </w:trPr>
        <w:tc>
          <w:tcPr>
            <w:tcW w:type="dxa" w:w="194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一阶维度</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S1 远程医疗</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S2 司法/移民</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S3 保密会议</w:t>
            </w:r>
          </w:p>
        </w:tc>
        <w:tc>
          <w:tcPr>
            <w:tcW w:type="dxa" w:w="4104"/>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S4 教育/公共服务</w:t>
            </w:r>
          </w:p>
        </w:tc>
        <w:tc>
          <w:tcPr>
            <w:tcW w:type="dxa" w:w="4248"/>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5"/>
              </w:rPr>
              <w:t>验证结论与框架修订</w:t>
            </w:r>
          </w:p>
        </w:tc>
      </w:tr>
      <w:tr>
        <w:trPr>
          <w:cantSplit w:val="false"/>
        </w:trPr>
        <w:tc>
          <w:tcPr>
            <w:tcW w:type="dxa" w:w="1944"/>
            <w:vAlign w:val="center"/>
            <w:tcMar>
              <w:top w:w="45" w:type="dxa"/>
              <w:start w:w="55" w:type="dxa"/>
              <w:bottom w:w="45" w:type="dxa"/>
              <w:end w:w="55" w:type="dxa"/>
            </w:tcMar>
            <w:shd w:fill="E4DFEC"/>
          </w:tcPr>
          <w:p>
            <w:pPr>
              <w:spacing w:before="0" w:after="0" w:line="240" w:lineRule="auto"/>
              <w:jc w:val="left"/>
            </w:pPr>
            <w:r/>
            <w:r>
              <w:rPr>
                <w:rFonts w:ascii="Arial" w:hAnsi="Arial" w:eastAsia="Noto Sans CJK SC" w:cs="Arial"/>
                <w:b/>
                <w:sz w:val="13"/>
              </w:rPr>
              <w:t>16. 透明度</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患者须知AI参与、数据用途、人工监督和主要局限。</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当事人须知是否使用自动口译及其对程序权利的风险。</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与会者须知云转写、录制、AI提示及人工审核程度。</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告知应适配年龄、残障、语言和数字素养。</w:t>
            </w:r>
          </w:p>
        </w:tc>
        <w:tc>
          <w:tcPr>
            <w:tcW w:type="dxa" w:w="424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通过；透明必须“及时、可理解、支持选择”，而非形式披露。</w:t>
            </w:r>
          </w:p>
        </w:tc>
      </w:tr>
      <w:tr>
        <w:trPr>
          <w:cantSplit w:val="false"/>
        </w:trPr>
        <w:tc>
          <w:tcPr>
            <w:tcW w:type="dxa" w:w="1944"/>
            <w:vAlign w:val="center"/>
            <w:tcMar>
              <w:top w:w="45" w:type="dxa"/>
              <w:start w:w="55" w:type="dxa"/>
              <w:bottom w:w="45" w:type="dxa"/>
              <w:end w:w="55" w:type="dxa"/>
            </w:tcMar>
            <w:shd w:fill="E4DFEC"/>
          </w:tcPr>
          <w:p>
            <w:pPr>
              <w:spacing w:before="0" w:after="0" w:line="240" w:lineRule="auto"/>
              <w:jc w:val="left"/>
            </w:pPr>
            <w:r/>
            <w:r>
              <w:rPr>
                <w:rFonts w:ascii="Arial" w:hAnsi="Arial" w:eastAsia="Noto Sans CJK SC" w:cs="Arial"/>
                <w:b/>
                <w:sz w:val="13"/>
              </w:rPr>
              <w:t>18. 技术使用规范</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仅使用经批准且可人工接管的工具；禁用未经验证的消费者应用。</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高风险程序中技术使用需经制度批准并有人工替代。</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根据保密级别、延迟和任务类型选择AI功能。</w:t>
            </w:r>
          </w:p>
        </w:tc>
        <w:tc>
          <w:tcPr>
            <w:tcW w:type="dxa" w:w="4104"/>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 技术不得成为获得服务的新门槛，需提供非数字替代。</w:t>
            </w:r>
          </w:p>
        </w:tc>
        <w:tc>
          <w:tcPr>
            <w:tcW w:type="dxa" w:w="4248"/>
            <w:vAlign w:val="center"/>
            <w:tcMar>
              <w:top w:w="45" w:type="dxa"/>
              <w:start w:w="55" w:type="dxa"/>
              <w:bottom w:w="45" w:type="dxa"/>
              <w:end w:w="55" w:type="dxa"/>
            </w:tcMar>
            <w:shd w:fill="F8FAFC"/>
          </w:tcPr>
          <w:p>
            <w:pPr>
              <w:spacing w:before="0" w:after="0" w:line="240" w:lineRule="auto"/>
              <w:jc w:val="left"/>
            </w:pPr>
            <w:r/>
            <w:r>
              <w:rPr>
                <w:rFonts w:ascii="Arial" w:hAnsi="Arial" w:eastAsia="Noto Sans CJK SC" w:cs="Arial"/>
                <w:b w:val="0"/>
                <w:sz w:val="13"/>
              </w:rPr>
              <w:t>通过；采用风险比例、适用性、可逆性与最小自动化原则。</w:t>
            </w:r>
          </w:p>
        </w:tc>
      </w:tr>
      <w:tr>
        <w:trPr>
          <w:cantSplit w:val="false"/>
        </w:trPr>
        <w:tc>
          <w:tcPr>
            <w:tcW w:type="dxa" w:w="1944"/>
            <w:vAlign w:val="center"/>
            <w:tcMar>
              <w:top w:w="45" w:type="dxa"/>
              <w:start w:w="55" w:type="dxa"/>
              <w:bottom w:w="45" w:type="dxa"/>
              <w:end w:w="55" w:type="dxa"/>
            </w:tcMar>
            <w:shd w:fill="E4DFEC"/>
          </w:tcPr>
          <w:p>
            <w:pPr>
              <w:spacing w:before="0" w:after="0" w:line="240" w:lineRule="auto"/>
              <w:jc w:val="left"/>
            </w:pPr>
            <w:r/>
            <w:r>
              <w:rPr>
                <w:rFonts w:ascii="Arial" w:hAnsi="Arial" w:eastAsia="Noto Sans CJK SC" w:cs="Arial"/>
                <w:b/>
                <w:sz w:val="13"/>
              </w:rPr>
              <w:t>21. 人机协作规范</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译员须能暂停、覆盖和接管；患者可请求人工服务。</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必须有人类最终负责，且可随时终止自动输出。</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AI提示可拒绝、关闭和追溯，不得强迫采纳。</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用户可在AI与人工/其他沟通方式间切换。</w:t>
            </w:r>
          </w:p>
        </w:tc>
        <w:tc>
          <w:tcPr>
            <w:tcW w:type="dxa" w:w="424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通过；“有意义的人类控制”必须具备实际权限和资源。</w:t>
            </w:r>
          </w:p>
        </w:tc>
      </w:tr>
      <w:tr>
        <w:trPr>
          <w:cantSplit w:val="false"/>
        </w:trPr>
        <w:tc>
          <w:tcPr>
            <w:tcW w:type="dxa" w:w="1944"/>
            <w:vAlign w:val="center"/>
            <w:tcMar>
              <w:top w:w="45" w:type="dxa"/>
              <w:start w:w="55" w:type="dxa"/>
              <w:bottom w:w="45" w:type="dxa"/>
              <w:end w:w="55" w:type="dxa"/>
            </w:tcMar>
            <w:shd w:fill="E4DFEC"/>
          </w:tcPr>
          <w:p>
            <w:pPr>
              <w:spacing w:before="0" w:after="0" w:line="240" w:lineRule="auto"/>
              <w:jc w:val="left"/>
            </w:pPr>
            <w:r/>
            <w:r>
              <w:rPr>
                <w:rFonts w:ascii="Arial" w:hAnsi="Arial" w:eastAsia="Noto Sans CJK SC" w:cs="Arial"/>
                <w:b/>
                <w:sz w:val="13"/>
              </w:rPr>
              <w:t>23. 可解释性</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医护和患者需理解系统为何不可靠及何时转人工。</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法庭与当事人需获得可审查的限制、日志和人工介入依据。</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译员需理解提示来源和置信局限，不必公开全部商业秘密。</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用户需获得适配其理解能力的错误与风险说明。</w:t>
            </w:r>
          </w:p>
        </w:tc>
        <w:tc>
          <w:tcPr>
            <w:tcW w:type="dxa" w:w="4248"/>
            <w:vAlign w:val="center"/>
            <w:tcMar>
              <w:top w:w="45" w:type="dxa"/>
              <w:start w:w="55" w:type="dxa"/>
              <w:bottom w:w="45" w:type="dxa"/>
              <w:end w:w="55" w:type="dxa"/>
            </w:tcMar>
            <w:shd w:fill="FCE4D6"/>
          </w:tcPr>
          <w:p>
            <w:pPr>
              <w:spacing w:before="0" w:after="0" w:line="240" w:lineRule="auto"/>
              <w:jc w:val="left"/>
            </w:pPr>
            <w:r/>
            <w:r>
              <w:rPr>
                <w:rFonts w:ascii="Arial" w:hAnsi="Arial" w:eastAsia="Noto Sans CJK SC" w:cs="Arial"/>
                <w:b w:val="0"/>
                <w:sz w:val="13"/>
              </w:rPr>
              <w:t>通过但证据较薄；区分用户解释、专业审计和监管可审查性。</w:t>
            </w:r>
          </w:p>
        </w:tc>
      </w:tr>
      <w:tr>
        <w:trPr>
          <w:cantSplit w:val="false"/>
        </w:trPr>
        <w:tc>
          <w:tcPr>
            <w:tcW w:type="dxa" w:w="1944"/>
            <w:vAlign w:val="center"/>
            <w:tcMar>
              <w:top w:w="45" w:type="dxa"/>
              <w:start w:w="55" w:type="dxa"/>
              <w:bottom w:w="45" w:type="dxa"/>
              <w:end w:w="55" w:type="dxa"/>
            </w:tcMar>
            <w:shd w:fill="E4DFEC"/>
          </w:tcPr>
          <w:p>
            <w:pPr>
              <w:spacing w:before="0" w:after="0" w:line="240" w:lineRule="auto"/>
              <w:jc w:val="left"/>
            </w:pPr>
            <w:r/>
            <w:r>
              <w:rPr>
                <w:rFonts w:ascii="Arial" w:hAnsi="Arial" w:eastAsia="Noto Sans CJK SC" w:cs="Arial"/>
                <w:b/>
                <w:sz w:val="13"/>
              </w:rPr>
              <w:t>29. 问责制/责任归属</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医院、供应商、平台与译员分别承担可追溯责任并提供救济。</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开发、采购、部署和现场使用均须识别责任人，不得免责。</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会议组织者、技术商与译员的故障和泄密责任须预先划分。</w:t>
            </w:r>
          </w:p>
        </w:tc>
        <w:tc>
          <w:tcPr>
            <w:tcW w:type="dxa" w:w="4104"/>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 公共机构对可及性、偏差、申诉和替代服务负最终治理责任。</w:t>
            </w:r>
          </w:p>
        </w:tc>
        <w:tc>
          <w:tcPr>
            <w:tcW w:type="dxa" w:w="4248"/>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3"/>
              </w:rPr>
              <w:t>通过；分布式责任不是稀释责任，而是消除责任真空。</w:t>
            </w:r>
          </w:p>
        </w:tc>
      </w:tr>
    </w:tbl>
    <w:p>
      <w:r>
        <w:br w:type="page"/>
      </w:r>
    </w:p>
    <w:p>
      <w:pPr>
        <w:spacing w:before="0" w:after="80" w:line="252" w:lineRule="auto"/>
      </w:pPr>
      <w:r>
        <w:rPr>
          <w:rFonts w:ascii="Arial" w:hAnsi="Arial" w:eastAsia="Noto Sans CJK SC" w:cs="Arial"/>
          <w:b/>
          <w:color w:val="1F4E79"/>
          <w:sz w:val="30"/>
        </w:rPr>
        <w:t>四、场景验证后应写入最终框架的八项修订</w:t>
      </w:r>
    </w:p>
    <w:tbl>
      <w:tblPr>
        <w:tblStyle w:val="TableGrid"/>
        <w:tblW w:type="auto" w:w="0"/>
        <w:jc w:val="center"/>
        <w:tblLayout w:type="fixed"/>
        <w:tblLook w:firstColumn="1" w:firstRow="1" w:lastColumn="0" w:lastRow="0" w:noHBand="0" w:noVBand="1" w:val="04A0"/>
      </w:tblPr>
      <w:tblGrid>
        <w:gridCol w:w="11419"/>
        <w:gridCol w:w="11419"/>
      </w:tblGrid>
      <w:tr>
        <w:trPr>
          <w:tblHeader w:val="true"/>
        </w:trPr>
        <w:tc>
          <w:tcPr>
            <w:tcW w:type="dxa" w:w="4608"/>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6"/>
              </w:rPr>
              <w:t>修订</w:t>
            </w:r>
          </w:p>
        </w:tc>
        <w:tc>
          <w:tcPr>
            <w:tcW w:type="dxa" w:w="17712"/>
            <w:vAlign w:val="center"/>
            <w:tcMar>
              <w:top w:w="45" w:type="dxa"/>
              <w:start w:w="55" w:type="dxa"/>
              <w:bottom w:w="45" w:type="dxa"/>
              <w:end w:w="55" w:type="dxa"/>
            </w:tcMar>
            <w:shd w:fill="1F4E79"/>
          </w:tcPr>
          <w:p>
            <w:pPr>
              <w:spacing w:before="0" w:after="0" w:line="240" w:lineRule="auto"/>
              <w:jc w:val="center"/>
            </w:pPr>
            <w:r/>
            <w:r>
              <w:rPr>
                <w:rFonts w:ascii="Arial" w:hAnsi="Arial" w:eastAsia="Noto Sans CJK SC" w:cs="Arial"/>
                <w:b/>
                <w:color w:val="FFFFFF"/>
                <w:sz w:val="16"/>
              </w:rPr>
              <w:t>写入最终框架的含义</w:t>
            </w:r>
          </w:p>
        </w:tc>
      </w:tr>
      <w:tr>
        <w:tc>
          <w:tcPr>
            <w:tcW w:type="dxa" w:w="11419"/>
            <w:vAlign w:val="center"/>
            <w:tcMar>
              <w:top w:w="45" w:type="dxa"/>
              <w:start w:w="55" w:type="dxa"/>
              <w:bottom w:w="45" w:type="dxa"/>
              <w:end w:w="55" w:type="dxa"/>
            </w:tcMar>
          </w:tcPr>
          <w:p>
            <w:pPr>
              <w:spacing w:before="0" w:after="0" w:line="240" w:lineRule="auto"/>
              <w:jc w:val="left"/>
            </w:pPr>
            <w:r/>
            <w:r>
              <w:rPr>
                <w:rFonts w:ascii="Arial" w:hAnsi="Arial" w:eastAsia="Noto Sans CJK SC" w:cs="Arial"/>
                <w:b/>
                <w:sz w:val="16"/>
              </w:rPr>
              <w:t>1. 风险分级与使用边界</w:t>
            </w:r>
          </w:p>
        </w:tc>
        <w:tc>
          <w:tcPr>
            <w:tcW w:type="dxa" w:w="11419"/>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6"/>
              </w:rPr>
              <w:t>不得笼统规定“可用/不可用AI”。应按场景后果、错误可逆性、用户脆弱性、语言资源与人工备援划分风险等级。</w:t>
            </w:r>
          </w:p>
        </w:tc>
      </w:tr>
      <w:tr>
        <w:tc>
          <w:tcPr>
            <w:tcW w:type="dxa" w:w="11419"/>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sz w:val="16"/>
              </w:rPr>
              <w:t>2. 有意义的人类控制</w:t>
            </w:r>
          </w:p>
        </w:tc>
        <w:tc>
          <w:tcPr>
            <w:tcW w:type="dxa" w:w="11419"/>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6"/>
              </w:rPr>
              <w:t>人工监督不能只是名义上的“人在回路”，而应包含可预览、可拒绝、可覆盖、可暂停、可接管及最终决定权。</w:t>
            </w:r>
          </w:p>
        </w:tc>
      </w:tr>
      <w:tr>
        <w:tc>
          <w:tcPr>
            <w:tcW w:type="dxa" w:w="11419"/>
            <w:vAlign w:val="center"/>
            <w:tcMar>
              <w:top w:w="45" w:type="dxa"/>
              <w:start w:w="55" w:type="dxa"/>
              <w:bottom w:w="45" w:type="dxa"/>
              <w:end w:w="55" w:type="dxa"/>
            </w:tcMar>
          </w:tcPr>
          <w:p>
            <w:pPr>
              <w:spacing w:before="0" w:after="0" w:line="240" w:lineRule="auto"/>
              <w:jc w:val="left"/>
            </w:pPr>
            <w:r/>
            <w:r>
              <w:rPr>
                <w:rFonts w:ascii="Arial" w:hAnsi="Arial" w:eastAsia="Noto Sans CJK SC" w:cs="Arial"/>
                <w:b/>
                <w:sz w:val="16"/>
              </w:rPr>
              <w:t>3. 分层准确性</w:t>
            </w:r>
          </w:p>
        </w:tc>
        <w:tc>
          <w:tcPr>
            <w:tcW w:type="dxa" w:w="11419"/>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6"/>
              </w:rPr>
              <w:t>口译准确性不仅是词句正确，还包括语义、语气、互动功能和对程序/健康结果的影响。</w:t>
            </w:r>
          </w:p>
        </w:tc>
      </w:tr>
      <w:tr>
        <w:tc>
          <w:tcPr>
            <w:tcW w:type="dxa" w:w="11419"/>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sz w:val="16"/>
              </w:rPr>
              <w:t>4. 保密与数据保护分立</w:t>
            </w:r>
          </w:p>
        </w:tc>
        <w:tc>
          <w:tcPr>
            <w:tcW w:type="dxa" w:w="11419"/>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6"/>
              </w:rPr>
              <w:t>保密规范人类不得不当披露；数据保护规范采集、转写、存储、训练、跨境传输、删除和审计。</w:t>
            </w:r>
          </w:p>
        </w:tc>
      </w:tr>
      <w:tr>
        <w:tc>
          <w:tcPr>
            <w:tcW w:type="dxa" w:w="11419"/>
            <w:vAlign w:val="center"/>
            <w:tcMar>
              <w:top w:w="45" w:type="dxa"/>
              <w:start w:w="55" w:type="dxa"/>
              <w:bottom w:w="45" w:type="dxa"/>
              <w:end w:w="55" w:type="dxa"/>
            </w:tcMar>
          </w:tcPr>
          <w:p>
            <w:pPr>
              <w:spacing w:before="0" w:after="0" w:line="240" w:lineRule="auto"/>
              <w:jc w:val="left"/>
            </w:pPr>
            <w:r/>
            <w:r>
              <w:rPr>
                <w:rFonts w:ascii="Arial" w:hAnsi="Arial" w:eastAsia="Noto Sans CJK SC" w:cs="Arial"/>
                <w:b/>
                <w:sz w:val="16"/>
              </w:rPr>
              <w:t>5. 真实透明与有效同意</w:t>
            </w:r>
          </w:p>
        </w:tc>
        <w:tc>
          <w:tcPr>
            <w:tcW w:type="dxa" w:w="11419"/>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6"/>
              </w:rPr>
              <w:t>披露须及时、可理解并支持真实选择；知情同意还应包含无惩罚退出、人工替代和紧急例外记录。</w:t>
            </w:r>
          </w:p>
        </w:tc>
      </w:tr>
      <w:tr>
        <w:tc>
          <w:tcPr>
            <w:tcW w:type="dxa" w:w="11419"/>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sz w:val="16"/>
              </w:rPr>
              <w:t>6. 差异性公平检验</w:t>
            </w:r>
          </w:p>
        </w:tc>
        <w:tc>
          <w:tcPr>
            <w:tcW w:type="dxa" w:w="11419"/>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6"/>
              </w:rPr>
              <w:t>不得只报告总体平均性能；必须按语言、方言、口音、手语、残障和其他相关群体分别测试与公开。</w:t>
            </w:r>
          </w:p>
        </w:tc>
      </w:tr>
      <w:tr>
        <w:tc>
          <w:tcPr>
            <w:tcW w:type="dxa" w:w="11419"/>
            <w:vAlign w:val="center"/>
            <w:tcMar>
              <w:top w:w="45" w:type="dxa"/>
              <w:start w:w="55" w:type="dxa"/>
              <w:bottom w:w="45" w:type="dxa"/>
              <w:end w:w="55" w:type="dxa"/>
            </w:tcMar>
          </w:tcPr>
          <w:p>
            <w:pPr>
              <w:spacing w:before="0" w:after="0" w:line="240" w:lineRule="auto"/>
              <w:jc w:val="left"/>
            </w:pPr>
            <w:r/>
            <w:r>
              <w:rPr>
                <w:rFonts w:ascii="Arial" w:hAnsi="Arial" w:eastAsia="Noto Sans CJK SC" w:cs="Arial"/>
                <w:b/>
                <w:sz w:val="16"/>
              </w:rPr>
              <w:t>7. 分布式但不稀释的问责</w:t>
            </w:r>
          </w:p>
        </w:tc>
        <w:tc>
          <w:tcPr>
            <w:tcW w:type="dxa" w:w="11419"/>
            <w:vAlign w:val="center"/>
            <w:tcMar>
              <w:top w:w="45" w:type="dxa"/>
              <w:start w:w="55" w:type="dxa"/>
              <w:bottom w:w="45" w:type="dxa"/>
              <w:end w:w="55" w:type="dxa"/>
            </w:tcMar>
          </w:tcPr>
          <w:p>
            <w:pPr>
              <w:spacing w:before="0" w:after="0" w:line="240" w:lineRule="auto"/>
              <w:jc w:val="left"/>
            </w:pPr>
            <w:r/>
            <w:r>
              <w:rPr>
                <w:rFonts w:ascii="Arial" w:hAnsi="Arial" w:eastAsia="Noto Sans CJK SC" w:cs="Arial"/>
                <w:b w:val="0"/>
                <w:sz w:val="16"/>
              </w:rPr>
              <w:t>开发者、供应商、采购方、机构、译员和领域专业人员分别承担可追溯责任，系统复杂性不能成为免责理由。</w:t>
            </w:r>
          </w:p>
        </w:tc>
      </w:tr>
      <w:tr>
        <w:tc>
          <w:tcPr>
            <w:tcW w:type="dxa" w:w="11419"/>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sz w:val="16"/>
              </w:rPr>
              <w:t>8. 口译劳动与权利</w:t>
            </w:r>
          </w:p>
        </w:tc>
        <w:tc>
          <w:tcPr>
            <w:tcW w:type="dxa" w:w="11419"/>
            <w:vAlign w:val="center"/>
            <w:tcMar>
              <w:top w:w="45" w:type="dxa"/>
              <w:start w:w="55" w:type="dxa"/>
              <w:bottom w:w="45" w:type="dxa"/>
              <w:end w:w="55" w:type="dxa"/>
            </w:tcMar>
            <w:shd w:fill="F7F9FB"/>
          </w:tcPr>
          <w:p>
            <w:pPr>
              <w:spacing w:before="0" w:after="0" w:line="240" w:lineRule="auto"/>
              <w:jc w:val="left"/>
            </w:pPr>
            <w:r/>
            <w:r>
              <w:rPr>
                <w:rFonts w:ascii="Arial" w:hAnsi="Arial" w:eastAsia="Noto Sans CJK SC" w:cs="Arial"/>
                <w:b w:val="0"/>
                <w:sz w:val="16"/>
              </w:rPr>
              <w:t>技术效率不应抹去准备、监控、纠错、待命和风险承担；声音、表演、译文与训练数据的再利用需明确授权。</w:t>
            </w:r>
          </w:p>
        </w:tc>
      </w:tr>
    </w:tbl>
    <w:p>
      <w:pPr>
        <w:spacing w:before="140" w:after="60" w:line="252" w:lineRule="auto"/>
      </w:pPr>
      <w:r>
        <w:rPr>
          <w:rFonts w:ascii="Arial" w:hAnsi="Arial" w:eastAsia="Noto Sans CJK SC" w:cs="Arial"/>
          <w:b/>
          <w:color w:val="1F4E79"/>
          <w:sz w:val="30"/>
        </w:rPr>
        <w:t>五、论文使用建议</w:t>
      </w:r>
    </w:p>
    <w:p>
      <w:pPr>
        <w:pStyle w:val="ListBullet"/>
        <w:spacing w:after="20" w:line="250" w:lineRule="auto"/>
      </w:pPr>
      <w:r>
        <w:rPr>
          <w:rFonts w:ascii="Arial" w:hAnsi="Arial" w:eastAsia="Noto Sans CJK SC" w:cs="Arial"/>
          <w:sz w:val="18"/>
        </w:rPr>
        <w:t>Results：只报告四类语料的维度覆盖、共同点、突出差异和零覆盖，不在此部分宣称最终伦理原则。</w:t>
      </w:r>
    </w:p>
    <w:p>
      <w:pPr>
        <w:pStyle w:val="ListBullet"/>
        <w:spacing w:after="20" w:line="250" w:lineRule="auto"/>
      </w:pPr>
      <w:r>
        <w:rPr>
          <w:rFonts w:ascii="Arial" w:hAnsi="Arial" w:eastAsia="Noto Sans CJK SC" w:cs="Arial"/>
          <w:sz w:val="18"/>
        </w:rPr>
        <w:t>Discussion：使用证据链矩阵解释伦理主体、保护对象、作用阶段和责任机制如何从个人职业伦理扩展到社会技术治理。</w:t>
      </w:r>
    </w:p>
    <w:p>
      <w:pPr>
        <w:pStyle w:val="ListBullet"/>
        <w:spacing w:after="20" w:line="250" w:lineRule="auto"/>
      </w:pPr>
      <w:r>
        <w:rPr>
          <w:rFonts w:ascii="Arial" w:hAnsi="Arial" w:eastAsia="Noto Sans CJK SC" w:cs="Arial"/>
          <w:sz w:val="18"/>
        </w:rPr>
        <w:t>Framework：将29维压缩为共享伦理核心、人类不可转让责任、技术/机构治理及分布式问责四层，并用本文件的最终条款作为子规则。</w:t>
      </w:r>
    </w:p>
    <w:p>
      <w:pPr>
        <w:pStyle w:val="ListBullet"/>
        <w:spacing w:after="20" w:line="250" w:lineRule="auto"/>
      </w:pPr>
      <w:r>
        <w:rPr>
          <w:rFonts w:ascii="Arial" w:hAnsi="Arial" w:eastAsia="Noto Sans CJK SC" w:cs="Arial"/>
          <w:sz w:val="18"/>
        </w:rPr>
        <w:t>Limitations：明确两份AI口译核心文件样本较小，部分规范来自笔译/MT立场文件，立场文件与正式标准效力不同，场景验证属于规范性压力测试而非实证效果评估。</w:t>
      </w:r>
    </w:p>
    <w:p>
      <w:pPr>
        <w:pStyle w:val="ListBullet"/>
        <w:spacing w:after="20" w:line="250" w:lineRule="auto"/>
      </w:pPr>
      <w:r>
        <w:rPr>
          <w:rFonts w:ascii="Arial" w:hAnsi="Arial" w:eastAsia="Noto Sans CJK SC" w:cs="Arial"/>
          <w:sz w:val="18"/>
        </w:rPr>
        <w:t>Appendix/Supplement：保留29维完整证据链、文件编号表和场景矩阵；正文展示压缩后的框架图及代表性证据。</w:t>
      </w:r>
    </w:p>
    <w:p>
      <w:pPr>
        <w:spacing w:before="100" w:after="40" w:line="252" w:lineRule="auto"/>
      </w:pPr>
      <w:r>
        <w:rPr>
          <w:rFonts w:ascii="Arial" w:hAnsi="Arial" w:eastAsia="Noto Sans CJK SC" w:cs="Arial"/>
          <w:b/>
          <w:color w:val="1F4E79"/>
          <w:sz w:val="22"/>
        </w:rPr>
        <w:t>证据状态说明</w:t>
      </w:r>
    </w:p>
    <w:p>
      <w:pPr>
        <w:spacing w:before="0" w:after="60" w:line="252" w:lineRule="auto"/>
      </w:pPr>
      <w:r>
        <w:rPr>
          <w:rFonts w:ascii="Arial" w:hAnsi="Arial" w:eastAsia="Noto Sans CJK SC" w:cs="Arial"/>
          <w:b w:val="0"/>
          <w:sz w:val="17"/>
        </w:rPr>
        <w:t>本矩阵依据现有29份编码表和已形成的29维统一框架工作稿制作。它记录的是“语料支持＋规范性重构＋场景检验”的路径，不等同于法律意见、行业共识或经利益相关方验证的最终准则。正式投稿前应由第二编码者或领域专家复核代表性条款，并对医疗、司法和AI口译实践者开展进一步验证。</w:t>
      </w:r>
    </w:p>
    <w:sectPr w:rsidR="00FC693F" w:rsidRPr="0006063C" w:rsidSect="00034616">
      <w:headerReference w:type="default" r:id="rId9"/>
      <w:footerReference w:type="default" r:id="rId10"/>
      <w:pgSz w:w="23818" w:h="16834" w:orient="landscape"/>
      <w:pgMar w:top="547" w:right="490" w:bottom="547" w:left="490"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cs="Arial"/>
        <w:b w:val="0"/>
        <w:color w:val="5A5A5A"/>
        <w:sz w:val="14"/>
      </w:rPr>
      <w:t>人机协作口译统一伦理框架｜证据链与场景验证矩阵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人机协作口译统一伦理框架：证据链与场景验证矩阵</dc:title>
  <dc:subject>29维伦理框架、职业守则、AI立场文件、TAC/ISO、场景压力测试</dc:subject>
  <dc:creator>Research working document</dc:creator>
  <cp:keywords>interpreting ethics; human-AI; evidence chain; scenario validation; professional codes; AI position papers</cp:keywords>
  <dc:description>generated by python-docx</dc:description>
  <cp:lastModifiedBy/>
  <cp:revision>1</cp:revision>
  <dcterms:created xsi:type="dcterms:W3CDTF">2013-12-23T23:15:00Z</dcterms:created>
  <dcterms:modified xsi:type="dcterms:W3CDTF">2013-12-23T23:15:00Z</dcterms:modified>
  <cp:category/>
</cp:coreProperties>
</file>