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四类语料人机伦理共性—差异—缺口解释矩阵</w:t>
      </w:r>
    </w:p>
    <w:p>
      <w:pPr>
        <w:spacing w:after="60" w:line="264" w:lineRule="auto"/>
        <w:jc w:val="left"/>
      </w:pPr>
      <w:r>
        <w:rPr>
          <w:rFonts w:ascii="Noto Sans CJK SC" w:hAnsi="Noto Sans CJK SC" w:eastAsia="Noto Sans CJK SC"/>
          <w:b w:val="0"/>
          <w:sz w:val="18"/>
        </w:rPr>
        <w:t>用途：把四类文件的频率结果转化为可用于 Results、Discussion 与统一框架建构的解释性证据。统计只表示文件是否显性提及某维度，不代表价值重要性的高低。</w:t>
      </w:r>
    </w:p>
    <w:p>
      <w:pPr>
        <w:spacing w:after="60" w:line="264" w:lineRule="auto"/>
        <w:jc w:val="left"/>
      </w:pPr>
      <w:r>
        <w:rPr>
          <w:rFonts w:ascii="Noto Sans CJK SC" w:hAnsi="Noto Sans CJK SC" w:eastAsia="Noto Sans CJK SC"/>
          <w:b w:val="0"/>
          <w:sz w:val="17"/>
        </w:rPr>
        <w:t>四类语料：①核心口译职业语料 P-I+P-TI（16份）；②核心AI口译治理语料 G-HAI-I（2份）；③AI治理桥接语料 G-TI+G-T（6份）；④外部翻译与MT参照语料 P-T+G-MT（5份）。其中②仅2份，50%即1份、100%即2份，应结合绝对文件数解释。</w:t>
      </w:r>
    </w:p>
    <w:p>
      <w:pPr>
        <w:pStyle w:val="Heading1"/>
      </w:pPr>
      <w:r>
        <w:t>一、解释类型与使用原则</w:t>
      </w:r>
    </w:p>
    <w:tbl>
      <w:tblPr>
        <w:tblStyle w:val="TableGrid"/>
        <w:tblW w:type="auto" w:w="0"/>
        <w:jc w:val="center"/>
        <w:tblLook w:firstColumn="1" w:firstRow="1" w:lastColumn="0" w:lastRow="0" w:noHBand="0" w:noVBand="1" w:val="04A0"/>
      </w:tblPr>
      <w:tblGrid>
        <w:gridCol w:w="7634"/>
        <w:gridCol w:w="7634"/>
        <w:gridCol w:w="7634"/>
      </w:tblGrid>
      <w:tr>
        <w:tc>
          <w:tcPr>
            <w:tcW w:type="dxa" w:w="7634"/>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6"/>
              </w:rPr>
              <w:t>类型</w:t>
            </w:r>
          </w:p>
        </w:tc>
        <w:tc>
          <w:tcPr>
            <w:tcW w:type="dxa" w:w="7634"/>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6"/>
              </w:rPr>
              <w:t>含义</w:t>
            </w:r>
          </w:p>
        </w:tc>
        <w:tc>
          <w:tcPr>
            <w:tcW w:type="dxa" w:w="7634"/>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6"/>
              </w:rPr>
              <w:t>颜色</w:t>
            </w:r>
          </w:p>
        </w:tc>
      </w:tr>
      <w:tr>
        <w:tc>
          <w:tcPr>
            <w:tcW w:type="dxa" w:w="7634"/>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6"/>
              </w:rPr>
              <w:t>共性</w:t>
            </w:r>
          </w:p>
        </w:tc>
        <w:tc>
          <w:tcPr>
            <w:tcW w:type="dxa" w:w="763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6"/>
              </w:rPr>
              <w:t>多个语料组共同覆盖，或保护价值连续但落实方式由职业义务转为技术/制度治理。</w:t>
            </w:r>
          </w:p>
        </w:tc>
        <w:tc>
          <w:tcPr>
            <w:tcW w:type="dxa" w:w="7634"/>
            <w:vAlign w:val="center"/>
            <w:tcMar>
              <w:top w:w="60" w:type="dxa"/>
              <w:start w:w="60" w:type="dxa"/>
              <w:bottom w:w="60" w:type="dxa"/>
              <w:end w:w="60" w:type="dxa"/>
            </w:tcMar>
            <w:shd w:fill="DDEBF7"/>
          </w:tcPr>
          <w:p>
            <w:pPr>
              <w:spacing w:before="0" w:after="0" w:line="240" w:lineRule="auto"/>
              <w:jc w:val="left"/>
            </w:pPr>
            <w:r/>
            <w:r>
              <w:rPr>
                <w:rFonts w:ascii="Noto Sans CJK SC" w:hAnsi="Noto Sans CJK SC" w:eastAsia="Noto Sans CJK SC"/>
                <w:b w:val="0"/>
                <w:color w:val="000000"/>
                <w:sz w:val="16"/>
              </w:rPr>
            </w:r>
          </w:p>
        </w:tc>
      </w:tr>
      <w:tr>
        <w:tc>
          <w:tcPr>
            <w:tcW w:type="dxa" w:w="7634"/>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6"/>
              </w:rPr>
              <w:t>差异</w:t>
            </w:r>
          </w:p>
        </w:tc>
        <w:tc>
          <w:tcPr>
            <w:tcW w:type="dxa" w:w="763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6"/>
              </w:rPr>
              <w:t>某类语料显著突出，反映职业品格、劳动关系、数据/算法或责任链等不同规范重心。</w:t>
            </w:r>
          </w:p>
        </w:tc>
        <w:tc>
          <w:tcPr>
            <w:tcW w:type="dxa" w:w="7634"/>
            <w:vAlign w:val="center"/>
            <w:tcMar>
              <w:top w:w="60" w:type="dxa"/>
              <w:start w:w="60" w:type="dxa"/>
              <w:bottom w:w="60" w:type="dxa"/>
              <w:end w:w="60" w:type="dxa"/>
            </w:tcMar>
            <w:shd w:fill="FFF2CC"/>
          </w:tcPr>
          <w:p>
            <w:pPr>
              <w:spacing w:before="0" w:after="0" w:line="240" w:lineRule="auto"/>
              <w:jc w:val="left"/>
            </w:pPr>
            <w:r/>
            <w:r>
              <w:rPr>
                <w:rFonts w:ascii="Noto Sans CJK SC" w:hAnsi="Noto Sans CJK SC" w:eastAsia="Noto Sans CJK SC"/>
                <w:b w:val="0"/>
                <w:color w:val="000000"/>
                <w:sz w:val="16"/>
              </w:rPr>
            </w:r>
          </w:p>
        </w:tc>
      </w:tr>
      <w:tr>
        <w:tc>
          <w:tcPr>
            <w:tcW w:type="dxa" w:w="7634"/>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6"/>
              </w:rPr>
              <w:t>AI治理扩展</w:t>
            </w:r>
          </w:p>
        </w:tc>
        <w:tc>
          <w:tcPr>
            <w:tcW w:type="dxa" w:w="763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6"/>
              </w:rPr>
              <w:t>传统口译守则覆盖低，而AI/MT文件引入或显著强化的新兴治理议题。</w:t>
            </w:r>
          </w:p>
        </w:tc>
        <w:tc>
          <w:tcPr>
            <w:tcW w:type="dxa" w:w="7634"/>
            <w:vAlign w:val="center"/>
            <w:tcMar>
              <w:top w:w="60" w:type="dxa"/>
              <w:start w:w="60" w:type="dxa"/>
              <w:bottom w:w="60" w:type="dxa"/>
              <w:end w:w="60" w:type="dxa"/>
            </w:tcMar>
            <w:shd w:fill="E4DFEC"/>
          </w:tcPr>
          <w:p>
            <w:pPr>
              <w:spacing w:before="0" w:after="0" w:line="240" w:lineRule="auto"/>
              <w:jc w:val="left"/>
            </w:pPr>
            <w:r/>
            <w:r>
              <w:rPr>
                <w:rFonts w:ascii="Noto Sans CJK SC" w:hAnsi="Noto Sans CJK SC" w:eastAsia="Noto Sans CJK SC"/>
                <w:b w:val="0"/>
                <w:color w:val="000000"/>
                <w:sz w:val="16"/>
              </w:rPr>
            </w:r>
          </w:p>
        </w:tc>
      </w:tr>
      <w:tr>
        <w:tc>
          <w:tcPr>
            <w:tcW w:type="dxa" w:w="7634"/>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6"/>
              </w:rPr>
              <w:t>缺口</w:t>
            </w:r>
          </w:p>
        </w:tc>
        <w:tc>
          <w:tcPr>
            <w:tcW w:type="dxa" w:w="763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6"/>
              </w:rPr>
              <w:t>各组均覆盖不足，或特定环节尚未形成稳定、独立、可操作的规范。</w:t>
            </w:r>
          </w:p>
        </w:tc>
        <w:tc>
          <w:tcPr>
            <w:tcW w:type="dxa" w:w="7634"/>
            <w:vAlign w:val="center"/>
            <w:tcMar>
              <w:top w:w="60" w:type="dxa"/>
              <w:start w:w="60" w:type="dxa"/>
              <w:bottom w:w="60" w:type="dxa"/>
              <w:end w:w="60" w:type="dxa"/>
            </w:tcMar>
            <w:shd w:fill="F4CCCC"/>
          </w:tcPr>
          <w:p>
            <w:pPr>
              <w:spacing w:before="0" w:after="0" w:line="240" w:lineRule="auto"/>
              <w:jc w:val="left"/>
            </w:pPr>
            <w:r/>
            <w:r>
              <w:rPr>
                <w:rFonts w:ascii="Noto Sans CJK SC" w:hAnsi="Noto Sans CJK SC" w:eastAsia="Noto Sans CJK SC"/>
                <w:b w:val="0"/>
                <w:color w:val="000000"/>
                <w:sz w:val="16"/>
              </w:rPr>
            </w:r>
          </w:p>
        </w:tc>
      </w:tr>
    </w:tbl>
    <w:p>
      <w:pPr>
        <w:spacing w:after="60" w:line="264" w:lineRule="auto"/>
        <w:jc w:val="left"/>
      </w:pPr>
      <w:r>
        <w:rPr>
          <w:rFonts w:ascii="Noto Sans CJK SC" w:hAnsi="Noto Sans CJK SC" w:eastAsia="Noto Sans CJK SC"/>
          <w:b w:val="0"/>
          <w:sz w:val="16"/>
        </w:rPr>
        <w:t>判定不是机械阈值分类，而是综合四组覆盖率、绝对文件数、原始条款表达及口译适用性作出的解释性判断。一个维度可以同时体现“共性”与“实现方式差异”。</w:t>
      </w:r>
    </w:p>
    <w:p>
      <w:pPr>
        <w:pStyle w:val="Heading1"/>
      </w:pPr>
      <w:r>
        <w:t>二、29维解释矩阵</w:t>
      </w:r>
    </w:p>
    <w:tbl>
      <w:tblPr>
        <w:tblStyle w:val="TableGrid"/>
        <w:tblW w:type="auto" w:w="0"/>
        <w:jc w:val="center"/>
        <w:tblLayout w:type="fixed"/>
        <w:tblLook w:firstColumn="1" w:firstRow="1" w:lastColumn="0" w:lastRow="0" w:noHBand="0" w:noVBand="1" w:val="04A0"/>
      </w:tblPr>
      <w:tblGrid>
        <w:gridCol w:w="2082"/>
        <w:gridCol w:w="2082"/>
        <w:gridCol w:w="2082"/>
        <w:gridCol w:w="2082"/>
        <w:gridCol w:w="2082"/>
        <w:gridCol w:w="2082"/>
        <w:gridCol w:w="2082"/>
        <w:gridCol w:w="2082"/>
        <w:gridCol w:w="2082"/>
        <w:gridCol w:w="2082"/>
        <w:gridCol w:w="2082"/>
      </w:tblGrid>
      <w:tr>
        <w:trPr>
          <w:tblHeader w:val="true"/>
        </w:trPr>
        <w:tc>
          <w:tcPr>
            <w:tcW w:type="dxa" w:w="1247"/>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维度</w:t>
            </w:r>
          </w:p>
        </w:tc>
        <w:tc>
          <w:tcPr>
            <w:tcW w:type="dxa" w:w="822"/>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职业</w:t>
              <w:br/>
              <w:t>16份</w:t>
            </w:r>
          </w:p>
        </w:tc>
        <w:tc>
          <w:tcPr>
            <w:tcW w:type="dxa" w:w="822"/>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AI口译</w:t>
              <w:br/>
              <w:t>2份</w:t>
            </w:r>
          </w:p>
        </w:tc>
        <w:tc>
          <w:tcPr>
            <w:tcW w:type="dxa" w:w="822"/>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桥接</w:t>
              <w:br/>
              <w:t>6份</w:t>
            </w:r>
          </w:p>
        </w:tc>
        <w:tc>
          <w:tcPr>
            <w:tcW w:type="dxa" w:w="822"/>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外部</w:t>
              <w:br/>
              <w:t>5份</w:t>
            </w:r>
          </w:p>
        </w:tc>
        <w:tc>
          <w:tcPr>
            <w:tcW w:type="dxa" w:w="1474"/>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类型判定</w:t>
            </w:r>
          </w:p>
        </w:tc>
        <w:tc>
          <w:tcPr>
            <w:tcW w:type="dxa" w:w="2608"/>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职业语料如何表达</w:t>
            </w:r>
          </w:p>
        </w:tc>
        <w:tc>
          <w:tcPr>
            <w:tcW w:type="dxa" w:w="2721"/>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AI/技术语料如何表达</w:t>
            </w:r>
          </w:p>
        </w:tc>
        <w:tc>
          <w:tcPr>
            <w:tcW w:type="dxa" w:w="2721"/>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差异与结构变化</w:t>
            </w:r>
          </w:p>
        </w:tc>
        <w:tc>
          <w:tcPr>
            <w:tcW w:type="dxa" w:w="2664"/>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口译情境化判断</w:t>
            </w:r>
          </w:p>
        </w:tc>
        <w:tc>
          <w:tcPr>
            <w:tcW w:type="dxa" w:w="2835"/>
            <w:vAlign w:val="center"/>
            <w:tcMar>
              <w:top w:w="60" w:type="dxa"/>
              <w:start w:w="60" w:type="dxa"/>
              <w:bottom w:w="60" w:type="dxa"/>
              <w:end w:w="60" w:type="dxa"/>
            </w:tcMar>
            <w:shd w:fill="1F4E78"/>
          </w:tcPr>
          <w:p>
            <w:pPr>
              <w:spacing w:before="0" w:after="0" w:line="240" w:lineRule="auto"/>
              <w:jc w:val="center"/>
            </w:pPr>
            <w:r/>
            <w:r>
              <w:rPr>
                <w:rFonts w:ascii="Noto Sans CJK SC" w:hAnsi="Noto Sans CJK SC" w:eastAsia="Noto Sans CJK SC"/>
                <w:b/>
                <w:color w:val="FFFFFF"/>
                <w:sz w:val="13"/>
              </w:rPr>
              <w:t>对统一框架的启示</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 保密性</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16/16</w:t>
              <w:br/>
              <w:t>(100%)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共性—同值异形</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以译员个人守密义务表达：工作中获知的信息未经授权不得披露或利用；信任关系是核心。</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AI文件更多把问题表述为平台泄密、公共工具输入风险、数据流向与法律责任；保密逐步技术化。</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伦理目标连续，但责任载体从“译员不说”扩展为访问控制、供应商政策、系统安全与机构监督。</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实时音视频、声纹、远程平台录制及云端转写使口译保密风险高于普通文本输入，不能仅沿用个人守密条款。</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统一框架应同时规定个人守密、数据最小化、平台准入、录制/留存规则和泄露后的通知与责任。</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 胜任能力</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15/16</w:t>
              <w:br/>
              <w:t>(94%)</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4/5</w:t>
              <w:br/>
              <w:t>(80%)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共性—共享核心</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强调任务承接前的自我评估、资质、语言组合、专业知识与充分准备；能力不足时须拒绝或告知。</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强调系统能力边界、场景适用性、低资源语言缺陷，以及使用者的AI素养和专业判断。</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“胜任”由人的资质门槛扩展为人、系统和工作流三重适配：谁能做、工具能否做、组合是否适合做。</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口译无法依靠充分后编辑，能力判断必须在任务前完成，并按语言、口音、场景和风险等级细化。</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设置人类资质、系统验证、场景适用性和AI素养四项准入条件；高风险任务不得以技术短缺替代人员资质。</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3. 忠实/准确</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13/16</w:t>
              <w:br/>
              <w:t>(81%)</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5/6</w:t>
              <w:br/>
              <w:t>(83%)</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共性—共享核心</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要求完整、忠实地传递意义、语气、语域和意图，禁止增删、歪曲与无根据猜测。</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强调自动系统在文化语境、细微含义和高风险内容中的准确性限制，反对未经核验的输出。</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职业伦理把准确视为译员行为义务；技术治理把它转化为可测试的系统性能、适用边界和审核责任。</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口译错误即时进入互动、难以撤回，还会改变发言轮次和程序结果，因此准确性必须结合即时干预能力。</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保留准确原则，同时加入场景化测试、实时置信提示、人工接管、错误记录与事后复盘。</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4. 诚信/职业操守</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16/16</w:t>
              <w:br/>
              <w:t>(100%)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1/5</w:t>
              <w:br/>
              <w:t>(20%)</w:t>
            </w:r>
          </w:p>
        </w:tc>
        <w:tc>
          <w:tcPr>
            <w:tcW w:type="dxa" w:w="1474"/>
            <w:vAlign w:val="center"/>
            <w:tcMar>
              <w:top w:w="60" w:type="dxa"/>
              <w:start w:w="60" w:type="dxa"/>
              <w:bottom w:w="60" w:type="dxa"/>
              <w:end w:w="60" w:type="dxa"/>
            </w:tcMar>
            <w:shd w:fill="FFF2CC"/>
          </w:tcPr>
          <w:p>
            <w:pPr>
              <w:spacing w:before="0" w:after="0" w:line="240" w:lineRule="auto"/>
              <w:jc w:val="center"/>
            </w:pPr>
            <w:r/>
            <w:r>
              <w:rPr>
                <w:rFonts w:ascii="Noto Sans CJK SC" w:hAnsi="Noto Sans CJK SC" w:eastAsia="Noto Sans CJK SC"/>
                <w:b/>
                <w:color w:val="000000"/>
                <w:sz w:val="12"/>
              </w:rPr>
              <w:t>差异—职业伦理突出</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以诚实、正直、真实陈述资质、维护职业声誉和审慎行事为核心，强调从业者品格。</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少量文件将诚信转化为开发者、供应商和采购方不得误导、不得以免责条款掩盖风险等组织行为。</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从个人德性和职业身份，转向企业行为、产品宣称与采购治理；但技术文件中显性“诚信”语言仍较弱。</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口译服务链中，机构可能比译员更能决定AI是否使用、如何宣传和如何收费，诚信义务必须覆盖组织。</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把诚信规定为多主体义务：真实宣传系统能力、如实披露人工参与程度、不得伪称“人工口译”或“已审核”。</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5. 持续专业发展</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16/16</w:t>
              <w:br/>
              <w:t>(100%)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FFF2CC"/>
          </w:tcPr>
          <w:p>
            <w:pPr>
              <w:spacing w:before="0" w:after="0" w:line="240" w:lineRule="auto"/>
              <w:jc w:val="center"/>
            </w:pPr>
            <w:r/>
            <w:r>
              <w:rPr>
                <w:rFonts w:ascii="Noto Sans CJK SC" w:hAnsi="Noto Sans CJK SC" w:eastAsia="Noto Sans CJK SC"/>
                <w:b/>
                <w:color w:val="000000"/>
                <w:sz w:val="12"/>
              </w:rPr>
              <w:t>差异—职业伦理突出</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要求译员持续培训、更新语言与专业知识并维持长期胜任，职业组织普遍将其视为常规义务。</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AI文件偶尔提出AI素养、批判性思维及技能更新，但直接AI口译文件未形成稳定的持续培训要求。</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传统CPD围绕语言和专业技能；人机环境需要增加模型局限、数据风险、故障应对和人工接管训练。</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系统快速迭代会使一次性培训迅速过时，口译员和采购/管理人员都需持续更新。</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将AI素养纳入强制CPD，并规定角色化培训、定期再认证、故障演练及新版本上线前培训。</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6. 合同/承诺遵守</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12/16</w:t>
              <w:br/>
              <w:t>(75%)</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0/6</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FFF2CC"/>
          </w:tcPr>
          <w:p>
            <w:pPr>
              <w:spacing w:before="0" w:after="0" w:line="240" w:lineRule="auto"/>
              <w:jc w:val="center"/>
            </w:pPr>
            <w:r/>
            <w:r>
              <w:rPr>
                <w:rFonts w:ascii="Noto Sans CJK SC" w:hAnsi="Noto Sans CJK SC" w:eastAsia="Noto Sans CJK SC"/>
                <w:b/>
                <w:color w:val="000000"/>
                <w:sz w:val="12"/>
              </w:rPr>
              <w:t>差异—职业伦理突出</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强调事先约定工作条件、期限、设备、报酬和交付形式，并按约履行；变更须经各方同意。</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AI治理文件很少以合同遵守作为独立伦理主题，纯MT标准更多呈现流程协议和记录要求。</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AI使用会引入供应商、平台和数据条款，但现有治理文本尚未充分把这些问题转写为合同伦理。</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口译任务需事先约定AI参与程度、录制、数据去向、人工备援、故障处置和责任承担。</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统一框架应设置最低合同披露清单，并禁止服务期间未经同意改变人工/AI模式或数据用途。</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7. 公平/中立</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12/16</w:t>
              <w:br/>
              <w:t>(75%)</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1/6</w:t>
              <w:br/>
              <w:t>(17%)</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0/5</w:t>
              <w:br/>
              <w:t>(0%)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共性—概念转化</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要求译员在多方互动中保持中立、公正，不因个人立场或关系偏袒任何一方。</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AI文件更常以公平服务、弱势用户补偿和偏差风险表达；技术层面的系统偏见通常另归算法公平。</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人类语境是行为选择与关系中立；技术语境是数据、设计和服务分配造成的结构性不平等。</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机器输出看似“中立”但可能隐藏训练偏差；同时人工监督者仍面临传统利益和立场冲突。</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保留互动中立，同时加入群体影响评估、差异化性能报告和弱势用户的补偿性保障。</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8. 质量保证</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8/16</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4/6</w:t>
              <w:br/>
              <w:t>(67%)</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5/5</w:t>
              <w:br/>
              <w:t>(100%)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共性—技术治理强化</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通过准备、设备条件、同伴合作、审核流程及专业责任预防低质量输出。</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强调基准测试、性能指标、验证、审计、定期复核和适用场景分级；外部MT标准覆盖最强。</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质量从个体专业努力扩展为可记录、可测试、可审计的全生命周期治理。</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口译质量不仅是语言准确，还包括延迟、音视频稳定、说话人区分、语调和实时恢复能力。</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建立口译专属质量指标、部署前验证、运行中监测、人工抽审和版本变更后的重新评估。</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9. 文化/语言能力</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2/16</w:t>
              <w:br/>
              <w:t>(12%)</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4/6</w:t>
              <w:br/>
              <w:t>(67%)</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4/5</w:t>
              <w:br/>
              <w:t>(80%)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差异—技术/外部突出</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仅少数专业守则把文化敏感性、方言和非标准语言能力单列；许多内容可能被并入一般胜任。</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AI与MT文件反复强调文化细微差别、低资源语言、方言/口音和语言多样性，突出系统局限。</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文化能力由个人知识属性扩展为训练数据代表性、语言资源分配和模型本地化问题。</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口译高度依赖非言语线索、地区口音、语用和权力关系，不能把文化能力简化为词汇正确率。</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要求按语言变体报告性能，纳入文化专家与目标社群评估，并保留人工情境判断。</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10. 错误更正义务</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8/16</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1/6</w:t>
              <w:br/>
              <w:t>(17%)</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F4CCCC"/>
          </w:tcPr>
          <w:p>
            <w:pPr>
              <w:spacing w:before="0" w:after="0" w:line="240" w:lineRule="auto"/>
              <w:jc w:val="center"/>
            </w:pPr>
            <w:r/>
            <w:r>
              <w:rPr>
                <w:rFonts w:ascii="Noto Sans CJK SC" w:hAnsi="Noto Sans CJK SC" w:eastAsia="Noto Sans CJK SC"/>
                <w:b/>
                <w:color w:val="000000"/>
                <w:sz w:val="12"/>
              </w:rPr>
              <w:t>缺口—AI补救不足</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传统口译规范明确要求发现错误后立即指出、纠正、澄清并减少后果。</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AI文件多强调事前质量与人工监督，真正把“具体错误发生后如何纠正”写成独立义务的文件较少。</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自动系统可能持续重复同类错误，但现有文件更重部署前验证，事中纠错流程相对不足。</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实时口译必须有可被用户理解的停机、纠错、回退人工和记录更正机制。</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设定即时纠错协议：谁发现、谁暂停、谁告知、如何重述、如何修正记录及如何防止模型重复。</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11. 隐私/数据保护</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0/16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1/6</w:t>
              <w:br/>
              <w:t>(17%)</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1/5</w:t>
              <w:br/>
              <w:t>(20%)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差异—AI治理新增</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核心职业语料几乎以一般保密概念处理信息风险，未形成数据生命周期治理。</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AI文件规范数据采集、训练、访问、存储、共享、退出和销毁，并援引隐私法律与安全审计。</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从人际守密转向数据基础设施治理，责任延伸到开发者、云平台、供应商、采购方和监管者。</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音频、视频、声纹及多方敏感对话可能被二次训练；同意与保密需要按数据生命周期管理。</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设立数据最小化、用途限制、退出机制、保存期限、跨境传输、第三方处理和删除证明。</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12. 拒绝有害工作</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6/16</w:t>
              <w:br/>
              <w:t>(38%)</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共性—风险边界</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允许或要求译员拒绝违法、有害、明显无法合规或危及自身安全与福祉的任务。</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反对在高风险场景部署未经监督或能力不足的系统，并要求在伤害风险不可接受时停止使用。</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拒绝权从个人职业判断扩展为机构的“不部署/停止部署”义务和采购禁区。</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医疗、司法、庇护、危机干预等场景需要清晰的AI禁用或强制人工接管门槛。</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建立风险分级和停止规则，并保护译员、用户及员工提出异议或拒绝AI而不受惩罚。</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13. 社会责任</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0/16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差异—AI治理新增</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核心职业守则几乎不以环境、社会结构和行业长期影响为独立主题。</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AI/MT文件关注能源消耗、语言生态、去技能化、公共资金使用、国家与社会风险及行业可持续性。</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责任范围由具体委托关系扩展至社会公众、语言共同体、环境和未来从业者。</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公共服务口译涉及平等获得司法、医疗和教育，技术采购不能只以成本和速度衡量。</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把公共利益影响评估纳入采购与部署，包括环境成本、语言资源分配、劳动力影响和服务可及性。</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14. 同业团结/合作</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11/16</w:t>
              <w:br/>
              <w:t>(69%)</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1/6</w:t>
              <w:br/>
              <w:t>(17%)</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FFF2CC"/>
          </w:tcPr>
          <w:p>
            <w:pPr>
              <w:spacing w:before="0" w:after="0" w:line="240" w:lineRule="auto"/>
              <w:jc w:val="center"/>
            </w:pPr>
            <w:r/>
            <w:r>
              <w:rPr>
                <w:rFonts w:ascii="Noto Sans CJK SC" w:hAnsi="Noto Sans CJK SC" w:eastAsia="Noto Sans CJK SC"/>
                <w:b/>
                <w:color w:val="000000"/>
                <w:sz w:val="12"/>
              </w:rPr>
              <w:t>差异—职业共同体突出</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强调同行互助、公平竞争、争议解决、新人培养及共同维护职业标准。</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桥接文件偶尔呼吁行业生态合作；外部翻译材料更多关注协会、工会和职业可持续性。</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AI可能重构行业分工并加剧议价不平等，但技术治理文件尚未系统承接传统同业伦理。</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人机口译需要同行共享故障经验、风险事件和最佳实践，同时避免供应商保密阻碍公共学习。</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建立行业事故报告、同行支持、共享评估资源和保护举报者的共同体机制。</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15. 利益冲突披露</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11/16</w:t>
              <w:br/>
              <w:t>(69%)</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0/5</w:t>
              <w:br/>
              <w:t>(0%)</w:t>
            </w:r>
          </w:p>
        </w:tc>
        <w:tc>
          <w:tcPr>
            <w:tcW w:type="dxa" w:w="1474"/>
            <w:vAlign w:val="center"/>
            <w:tcMar>
              <w:top w:w="60" w:type="dxa"/>
              <w:start w:w="60" w:type="dxa"/>
              <w:bottom w:w="60" w:type="dxa"/>
              <w:end w:w="60" w:type="dxa"/>
            </w:tcMar>
            <w:shd w:fill="FFF2CC"/>
          </w:tcPr>
          <w:p>
            <w:pPr>
              <w:spacing w:before="0" w:after="0" w:line="240" w:lineRule="auto"/>
              <w:jc w:val="center"/>
            </w:pPr>
            <w:r/>
            <w:r>
              <w:rPr>
                <w:rFonts w:ascii="Noto Sans CJK SC" w:hAnsi="Noto Sans CJK SC" w:eastAsia="Noto Sans CJK SC"/>
                <w:b/>
                <w:color w:val="000000"/>
                <w:sz w:val="12"/>
              </w:rPr>
              <w:t>差异—职业伦理独有</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要求披露并回避可能影响公正判断的个人、商业或关系利益，核心职业语料覆盖较高。</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AI治理与MT材料几乎未将供应商利益、采购激励、数据商业利益写为独立冲突披露义务。</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传统冲突集中于译员与当事人关系；AI环境新增开发者、供应商、采购者和评测者的商业冲突。</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机构可能因节省成本而夸大自动口译适用性，评估机构也可能与产品方存在利益关系。</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扩大利益冲突定义，要求披露供应商关系、资助来源、评测独立性、成本激励与数据商业用途。</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16. 透明度</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5/16</w:t>
              <w:br/>
              <w:t>(31%)</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5/6</w:t>
              <w:br/>
              <w:t>(83%)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4/5</w:t>
              <w:br/>
              <w:t>(80%)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差异—AI治理核心</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传统守则中的透明多为即时告知、澄清、披露关系或说明角色边界，覆盖有限。</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AI文件要求标识AI使用、能力边界、训练数据、质量等级、真实成本、风险、审核状态和申诉渠道。</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从个体沟通行为转化为产品、流程和供应链的系统性披露义务。</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口译中的披露必须实时、可理解且不干扰沟通；仅在合同或隐私政策中埋藏信息不足。</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规定用户前置告知、现场可见标识、能力与风险说明、人工参与程度及重大变更再次确认。</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17. 知识产权保护</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4/16</w:t>
              <w:br/>
              <w:t>(25%)</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4/5</w:t>
              <w:br/>
              <w:t>(80%)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差异—AI/翻译权利突出</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职业守则少量涉及授权使用、客户文件归属和尊重原作者权利。</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AI与MT文件重点关注训练数据抓取、版权合规、作品来源和第三方内容的授权。</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知识产权从单次译作关系扩展到大规模数据训练、模型输出和平台再利用。</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口译还涉及录音、转写、发言内容、术语库及口译员声音/表演数据的权利。</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明确训练与二次利用授权，区分客户内容、发言人权利、译员产出和平台生成数据。</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18. 技术使用规范</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3/16</w:t>
              <w:br/>
              <w:t>(19%)</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0/6</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0/5</w:t>
              <w:br/>
              <w:t>(0%)</w:t>
            </w:r>
          </w:p>
        </w:tc>
        <w:tc>
          <w:tcPr>
            <w:tcW w:type="dxa" w:w="1474"/>
            <w:vAlign w:val="center"/>
            <w:tcMar>
              <w:top w:w="60" w:type="dxa"/>
              <w:start w:w="60" w:type="dxa"/>
              <w:bottom w:w="60" w:type="dxa"/>
              <w:end w:w="60" w:type="dxa"/>
            </w:tcMar>
            <w:shd w:fill="FCE5CD"/>
          </w:tcPr>
          <w:p>
            <w:pPr>
              <w:spacing w:before="0" w:after="0" w:line="240" w:lineRule="auto"/>
              <w:jc w:val="center"/>
            </w:pPr>
            <w:r/>
            <w:r>
              <w:rPr>
                <w:rFonts w:ascii="Noto Sans CJK SC" w:hAnsi="Noto Sans CJK SC" w:eastAsia="Noto Sans CJK SC"/>
                <w:b/>
                <w:color w:val="000000"/>
                <w:sz w:val="12"/>
              </w:rPr>
              <w:t>缺口—被具体维度吸收</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少数职业守则直接规定技术应恰当使用、与客户协商并满足设备条件。</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AI文件虽大量讨论技术，但多数内容已被编码到透明、数据保护、人机协作、质量或拒绝有害工作。</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低频主要是“具体维度优先”造成的分类结果，不应简单解释为技术使用伦理缺失。</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仍需一个场景入口判断：是否应使用技术、使用何种模式、何时退出；该功能不能完全被下游维度取代。</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把“技术适用性评估”作为总程序要求，具体义务再链接到透明、质量、数据与责任条款。</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19. 角色界限</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14/16</w:t>
              <w:br/>
              <w:t>(88%)</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1/5</w:t>
              <w:br/>
              <w:t>(20%)</w:t>
            </w:r>
          </w:p>
        </w:tc>
        <w:tc>
          <w:tcPr>
            <w:tcW w:type="dxa" w:w="1474"/>
            <w:vAlign w:val="center"/>
            <w:tcMar>
              <w:top w:w="60" w:type="dxa"/>
              <w:start w:w="60" w:type="dxa"/>
              <w:bottom w:w="60" w:type="dxa"/>
              <w:end w:w="60" w:type="dxa"/>
            </w:tcMar>
            <w:shd w:fill="DDEBF7"/>
          </w:tcPr>
          <w:p>
            <w:pPr>
              <w:spacing w:before="0" w:after="0" w:line="240" w:lineRule="auto"/>
              <w:jc w:val="center"/>
            </w:pPr>
            <w:r/>
            <w:r>
              <w:rPr>
                <w:rFonts w:ascii="Noto Sans CJK SC" w:hAnsi="Noto Sans CJK SC" w:eastAsia="Noto Sans CJK SC"/>
                <w:b/>
                <w:color w:val="000000"/>
                <w:sz w:val="12"/>
              </w:rPr>
              <w:t>共性—人机边界转化</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明确译员能做什么、不能做什么，禁止越权建议、兼任不相容角色并要求各方理解其职责。</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AI文件质疑机器能否被当作“口译员”，强调人类专业人员的最终判断和技术的工具地位。</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角色边界由译员与当事人之间，扩展为译员、系统、供应商、机构和用户之间的权限配置。</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必须区分AI辅助、AI生成、自动口译、人工监控和人工接管，避免角色名称掩盖责任差异。</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建立角色分类和权限表，明确哪些判断不可委托给机器、谁有最终决定权及谁负责告知。</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20. 公平报酬</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2/16</w:t>
              <w:br/>
              <w:t>(12%)</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5/6</w:t>
              <w:br/>
              <w:t>(83%)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差异—AI劳动正义突出</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传统职业守则仅少量要求合理报酬和反对压价。</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AI宣言高频讨论低价译后编辑、价值分配不公、去技能化、创作者补偿及“免费数据”问题。</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报酬从单笔合同问题扩展为技术转型中的劳动价值、平台权力与收益分配。</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AI口译可能以“技术替代”压低口译费，却把监控、纠错和责任转嫁给人工。</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要求对人工监督、待命、纠错、数据授权和风险责任单独计酬，并禁止隐性无偿劳动。</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21. 人机协作规范</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0/16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4/6</w:t>
              <w:br/>
              <w:t>(67%)</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差异—AI治理新增</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核心职业守则形成于AI协作普及之前，几乎没有直接规定人机职责划分。</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AI与MT文件强调人在核心、人工监督、最终决策权、验证、接管和不可替代的专业判断。</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伦理分析单位从单一译员转向人机工作流和分布式多主体系统。</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同步口译中的“人在回路”必须具体到监测频率、接管时延、可听见信息和人员负荷。</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定义最低人工控制标准、不可自动化任务、接管条件、监督人员资质及不得以名义监督替代真实控制。</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22. 算法公平</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0/16</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差异—AI治理新增</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传统公平/中立条款处理人的偏见与多方关系，未涉及模型和训练数据的系统性偏差。</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AI文件要求数据与算法公平、偏见审计、按语言/群体报告性能，并关注低资源语言和弱势用户。</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公平由个体态度转为可测量的群体差异、数据代表性与设计选择。</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自动口译可能对口音、性别、残障、方言和低资源语言产生不均等错误率。</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部署前开展分群体评估，公开差异指标，设置最低公平阈值并提供人工替代与申诉。</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23. 可解释性</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0/16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0/6</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1/5</w:t>
              <w:br/>
              <w:t>(20%)</w:t>
            </w:r>
          </w:p>
        </w:tc>
        <w:tc>
          <w:tcPr>
            <w:tcW w:type="dxa" w:w="1474"/>
            <w:vAlign w:val="center"/>
            <w:tcMar>
              <w:top w:w="60" w:type="dxa"/>
              <w:start w:w="60" w:type="dxa"/>
              <w:bottom w:w="60" w:type="dxa"/>
              <w:end w:w="60" w:type="dxa"/>
            </w:tcMar>
            <w:shd w:fill="F4CCCC"/>
          </w:tcPr>
          <w:p>
            <w:pPr>
              <w:spacing w:before="0" w:after="0" w:line="240" w:lineRule="auto"/>
              <w:jc w:val="center"/>
            </w:pPr>
            <w:r/>
            <w:r>
              <w:rPr>
                <w:rFonts w:ascii="Noto Sans CJK SC" w:hAnsi="Noto Sans CJK SC" w:eastAsia="Noto Sans CJK SC"/>
                <w:b/>
                <w:color w:val="000000"/>
                <w:sz w:val="12"/>
              </w:rPr>
              <w:t>缺口—共同薄弱</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职业语料没有系统逻辑可理解性的技术对象。</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仅外部机器翻译伦理要求算法逻辑清晰、可审计；其他AI文件多使用“透明”而未细分解释。</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可解释性尚未在翻译/口译伦理中制度化，透明度可能承担了过多不同功能。</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终端用户未必需要模型技术细节，但专业审核者需要错误原因、置信信息和版本变更可追溯。</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区分用户可理解说明与专业技术解释，规定审核接口、决策依据、已知失效模式和审计证据。</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24. 知情同意</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1/16</w:t>
              <w:br/>
              <w:t>(6%)</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差异—AI治理补强</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职业语料仅在摘要传译等非常规模式中明确要求知情同意。</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AI口译与桥接文件要求用户接受/拒绝AI、选择加入/退出数据收集并获得人工服务替代。</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同意对象从特殊口译方式扩展为技术参与、数据处理、风险承担和服务模式选择。</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在权力不对称的医疗、司法和移民场景，同意必须真实可拒绝，不能以没有替代服务为前提。</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建立分层同意：AI使用、录音/数据、自动决策、人工替代；重大变化需重新征得同意。</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25. 译者著作权利</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1/16</w:t>
              <w:br/>
              <w:t>(6%)</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3/5</w:t>
              <w:br/>
              <w:t>(60%)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差异—创作者权利突出</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核心口译职业语料几乎不单列译者作者权，传统笔译宪章则有成熟权利体系。</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AI文件关注作品被用于训练时的授权、署名、报酬及透明度。</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作者权议题从译作出版扩展到数据化采集和模型训练；口译中对应的权利尚未充分命名。</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需要讨论口译录音、转写、语音克隆、术语成果和示范语料是否可被训练或商业化。</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将译者权利扩展为语言专业人员的数据与人格权：选择加入、用途限制、署名、补偿和撤回。</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26. 尊重当事人/自主权</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3/16</w:t>
              <w:br/>
              <w:t>(19%)</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0/6</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0/5</w:t>
              <w:br/>
              <w:t>(0%)</w:t>
            </w:r>
          </w:p>
        </w:tc>
        <w:tc>
          <w:tcPr>
            <w:tcW w:type="dxa" w:w="1474"/>
            <w:vAlign w:val="center"/>
            <w:tcMar>
              <w:top w:w="60" w:type="dxa"/>
              <w:start w:w="60" w:type="dxa"/>
              <w:bottom w:w="60" w:type="dxa"/>
              <w:end w:w="60" w:type="dxa"/>
            </w:tcMar>
            <w:shd w:fill="F4CCCC"/>
          </w:tcPr>
          <w:p>
            <w:pPr>
              <w:spacing w:before="0" w:after="0" w:line="240" w:lineRule="auto"/>
              <w:jc w:val="center"/>
            </w:pPr>
            <w:r/>
            <w:r>
              <w:rPr>
                <w:rFonts w:ascii="Noto Sans CJK SC" w:hAnsi="Noto Sans CJK SC" w:eastAsia="Noto Sans CJK SC"/>
                <w:b/>
                <w:color w:val="000000"/>
                <w:sz w:val="12"/>
              </w:rPr>
              <w:t>缺口—基础价值显性不足</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少数医疗、教育和社区口译守则明确促进当事人自主和实际选择，其他文件常被中立或角色界限吸收。</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AI口译文件通过公平审判、救济权和用户选择触及自主，但未在所有治理材料中稳定出现。</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自主既是关系伦理价值，也是知情同意、可及性、数据控制和人工替代的正当化基础。</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语言服务对象常无法独立判断输出质量，自主不能仅靠“提供选择”，还需要可理解信息和有效替代。</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把当事人自主确立为上位原则，并通过同意、可争议性、人工替代和救济机制具体化。</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27. 语言可及性/无障碍保障</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2/16</w:t>
              <w:br/>
              <w:t>(12%)</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1/2</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3/6</w:t>
              <w:br/>
              <w:t>(50%)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0/5</w:t>
              <w:br/>
              <w:t>(0%)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差异—AI治理与口译核心交汇</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教育和手语口译强调消除沟通障碍、支持课堂内外交流和适配非标准沟通方式。</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AI文件关注低资源语言、残障用户、语言鸿沟和按语言报告性能，要求人工服务兜底。</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可及性从提供口译服务扩展为技术设计、语言覆盖、性能平等和退出后的服务连续性。</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可及性是口译的存在理由之一，不能因部署AI反而把弱势用户置于质量更低的服务层级。</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规定等效服务标准、低资源语言评估、残障可用性、人工替代和不得因拒绝AI降低服务。</w:t>
            </w:r>
          </w:p>
        </w:tc>
      </w:tr>
      <w:tr>
        <w:trPr>
          <w:cantSplit/>
        </w:trPr>
        <w:tc>
          <w:tcPr>
            <w:tcW w:type="dxa" w:w="1247"/>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color w:val="000000"/>
                <w:sz w:val="12"/>
              </w:rPr>
              <w:t>28. 跨专业协作</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1/16</w:t>
              <w:br/>
              <w:t>(6%)</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0/2</w:t>
              <w:br/>
              <w:t>(0%)</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2/6</w:t>
              <w:br/>
              <w:t>(33%)</w:t>
            </w:r>
          </w:p>
        </w:tc>
        <w:tc>
          <w:tcPr>
            <w:tcW w:type="dxa" w:w="822"/>
            <w:vAlign w:val="center"/>
            <w:tcMar>
              <w:top w:w="60" w:type="dxa"/>
              <w:start w:w="60" w:type="dxa"/>
              <w:bottom w:w="60" w:type="dxa"/>
              <w:end w:w="60" w:type="dxa"/>
            </w:tcMar>
            <w:shd w:fill="F8FAFC"/>
          </w:tcPr>
          <w:p>
            <w:pPr>
              <w:spacing w:before="0" w:after="0" w:line="240" w:lineRule="auto"/>
              <w:jc w:val="center"/>
            </w:pPr>
            <w:r/>
            <w:r>
              <w:rPr>
                <w:rFonts w:ascii="Noto Sans CJK SC" w:hAnsi="Noto Sans CJK SC" w:eastAsia="Noto Sans CJK SC"/>
                <w:b w:val="0"/>
                <w:color w:val="000000"/>
                <w:sz w:val="12"/>
              </w:rPr>
              <w:t>2/5</w:t>
              <w:br/>
              <w:t>(40%)</w:t>
            </w:r>
          </w:p>
        </w:tc>
        <w:tc>
          <w:tcPr>
            <w:tcW w:type="dxa" w:w="1474"/>
            <w:vAlign w:val="center"/>
            <w:tcMar>
              <w:top w:w="60" w:type="dxa"/>
              <w:start w:w="60" w:type="dxa"/>
              <w:bottom w:w="60" w:type="dxa"/>
              <w:end w:w="60" w:type="dxa"/>
            </w:tcMar>
            <w:shd w:fill="F4CCCC"/>
          </w:tcPr>
          <w:p>
            <w:pPr>
              <w:spacing w:before="0" w:after="0" w:line="240" w:lineRule="auto"/>
              <w:jc w:val="center"/>
            </w:pPr>
            <w:r/>
            <w:r>
              <w:rPr>
                <w:rFonts w:ascii="Noto Sans CJK SC" w:hAnsi="Noto Sans CJK SC" w:eastAsia="Noto Sans CJK SC"/>
                <w:b/>
                <w:color w:val="000000"/>
                <w:sz w:val="12"/>
              </w:rPr>
              <w:t>缺口—共同薄弱</w:t>
            </w:r>
          </w:p>
        </w:tc>
        <w:tc>
          <w:tcPr>
            <w:tcW w:type="dxa" w:w="2608"/>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仅教育等垂直场景系统规定译员与教师、医护或团队协作。</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少数文件呼吁语言学家与开发者、政策制定者和社群共同塑造技术；整体覆盖仍低。</w:t>
            </w:r>
          </w:p>
        </w:tc>
        <w:tc>
          <w:tcPr>
            <w:tcW w:type="dxa" w:w="2721"/>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AI治理需要跨越语言、工程、法律、采购、数据保护和场景专业，但规范文件仍呈部门分割。</w:t>
            </w:r>
          </w:p>
        </w:tc>
        <w:tc>
          <w:tcPr>
            <w:tcW w:type="dxa" w:w="2664"/>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高风险口译的系统评估不可能由单一主体完成，必须引入场景专家和受影响社群。</w:t>
            </w:r>
          </w:p>
        </w:tc>
        <w:tc>
          <w:tcPr>
            <w:tcW w:type="dxa" w:w="2835"/>
            <w:vAlign w:val="center"/>
            <w:tcMar>
              <w:top w:w="60" w:type="dxa"/>
              <w:start w:w="60" w:type="dxa"/>
              <w:bottom w:w="60" w:type="dxa"/>
              <w:end w:w="60" w:type="dxa"/>
            </w:tcMar>
            <w:shd w:fill="F8FAFC"/>
          </w:tcPr>
          <w:p>
            <w:pPr>
              <w:spacing w:before="0" w:after="0" w:line="240" w:lineRule="auto"/>
              <w:jc w:val="left"/>
            </w:pPr>
            <w:r/>
            <w:r>
              <w:rPr>
                <w:rFonts w:ascii="Noto Sans CJK SC" w:hAnsi="Noto Sans CJK SC" w:eastAsia="Noto Sans CJK SC"/>
                <w:b w:val="0"/>
                <w:color w:val="000000"/>
                <w:sz w:val="12"/>
              </w:rPr>
              <w:t>建立跨专业治理团队，规定语言专家、技术人员、法律/隐私人员和用户代表的最低参与。</w:t>
            </w:r>
          </w:p>
        </w:tc>
      </w:tr>
      <w:tr>
        <w:trPr>
          <w:cantSplit/>
        </w:trPr>
        <w:tc>
          <w:tcPr>
            <w:tcW w:type="dxa" w:w="1247"/>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color w:val="000000"/>
                <w:sz w:val="12"/>
              </w:rPr>
              <w:t>29. 问责制/责任归属</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3/16</w:t>
              <w:br/>
              <w:t>(19%)</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2/2</w:t>
              <w:br/>
              <w:t>(100%)</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1/6</w:t>
              <w:br/>
              <w:t>(17%)</w:t>
            </w:r>
          </w:p>
        </w:tc>
        <w:tc>
          <w:tcPr>
            <w:tcW w:type="dxa" w:w="822"/>
            <w:vAlign w:val="center"/>
            <w:tcMar>
              <w:top w:w="60" w:type="dxa"/>
              <w:start w:w="60" w:type="dxa"/>
              <w:bottom w:w="60" w:type="dxa"/>
              <w:end w:w="60" w:type="dxa"/>
            </w:tcMar>
          </w:tcPr>
          <w:p>
            <w:pPr>
              <w:spacing w:before="0" w:after="0" w:line="240" w:lineRule="auto"/>
              <w:jc w:val="center"/>
            </w:pPr>
            <w:r/>
            <w:r>
              <w:rPr>
                <w:rFonts w:ascii="Noto Sans CJK SC" w:hAnsi="Noto Sans CJK SC" w:eastAsia="Noto Sans CJK SC"/>
                <w:b w:val="0"/>
                <w:color w:val="000000"/>
                <w:sz w:val="12"/>
              </w:rPr>
              <w:t>1/5</w:t>
              <w:br/>
              <w:t>(20%)</w:t>
            </w:r>
          </w:p>
        </w:tc>
        <w:tc>
          <w:tcPr>
            <w:tcW w:type="dxa" w:w="1474"/>
            <w:vAlign w:val="center"/>
            <w:tcMar>
              <w:top w:w="60" w:type="dxa"/>
              <w:start w:w="60" w:type="dxa"/>
              <w:bottom w:w="60" w:type="dxa"/>
              <w:end w:w="60" w:type="dxa"/>
            </w:tcMar>
            <w:shd w:fill="E4DFEC"/>
          </w:tcPr>
          <w:p>
            <w:pPr>
              <w:spacing w:before="0" w:after="0" w:line="240" w:lineRule="auto"/>
              <w:jc w:val="center"/>
            </w:pPr>
            <w:r/>
            <w:r>
              <w:rPr>
                <w:rFonts w:ascii="Noto Sans CJK SC" w:hAnsi="Noto Sans CJK SC" w:eastAsia="Noto Sans CJK SC"/>
                <w:b/>
                <w:color w:val="000000"/>
                <w:sz w:val="12"/>
              </w:rPr>
              <w:t>差异—AI口译责任升级</w:t>
            </w:r>
          </w:p>
        </w:tc>
        <w:tc>
          <w:tcPr>
            <w:tcW w:type="dxa" w:w="2608"/>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职业守则中问责多为个人对工作、协会或分包结果负责，覆盖有限且责任链较短。</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两份直接AI口译文件均强调机器不能承担责任，要求开发者、供应商、采购方和部署机构建立清晰责任链。</w:t>
            </w:r>
          </w:p>
        </w:tc>
        <w:tc>
          <w:tcPr>
            <w:tcW w:type="dxa" w:w="2721"/>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责任由单一专业人员转为分布式责任；技术设备不是道德或法律责任终点。</w:t>
            </w:r>
          </w:p>
        </w:tc>
        <w:tc>
          <w:tcPr>
            <w:tcW w:type="dxa" w:w="2664"/>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实时损害可能来自模型、音频环境、配置、采购决策和监督不足，必须预先分配责任并保留证据。</w:t>
            </w:r>
          </w:p>
        </w:tc>
        <w:tc>
          <w:tcPr>
            <w:tcW w:type="dxa" w:w="2835"/>
            <w:vAlign w:val="center"/>
            <w:tcMar>
              <w:top w:w="60" w:type="dxa"/>
              <w:start w:w="60" w:type="dxa"/>
              <w:bottom w:w="60" w:type="dxa"/>
              <w:end w:w="60" w:type="dxa"/>
            </w:tcMar>
          </w:tcPr>
          <w:p>
            <w:pPr>
              <w:spacing w:before="0" w:after="0" w:line="240" w:lineRule="auto"/>
              <w:jc w:val="left"/>
            </w:pPr>
            <w:r/>
            <w:r>
              <w:rPr>
                <w:rFonts w:ascii="Noto Sans CJK SC" w:hAnsi="Noto Sans CJK SC" w:eastAsia="Noto Sans CJK SC"/>
                <w:b w:val="0"/>
                <w:color w:val="000000"/>
                <w:sz w:val="12"/>
              </w:rPr>
              <w:t>确立“责任不可自动化”原则：列明生命周期责任人、日志与审计、申诉救济、保险/赔偿和监管报告。</w:t>
            </w:r>
          </w:p>
        </w:tc>
      </w:tr>
    </w:tbl>
    <w:p>
      <w:pPr>
        <w:pStyle w:val="Heading1"/>
      </w:pPr>
      <w:r>
        <w:t>三、由矩阵可优先发展的五条讨论主线</w:t>
      </w:r>
    </w:p>
    <w:p>
      <w:pPr>
        <w:spacing w:after="60" w:line="264" w:lineRule="auto"/>
        <w:jc w:val="left"/>
      </w:pPr>
      <w:r>
        <w:rPr>
          <w:rFonts w:ascii="Noto Sans CJK SC" w:hAnsi="Noto Sans CJK SC" w:eastAsia="Noto Sans CJK SC"/>
          <w:b w:val="0"/>
          <w:sz w:val="18"/>
        </w:rPr>
        <w:t>1. 共享伦理目标、不同落实机制：准确、胜任、保密和公平并未因AI消失，而是从个人职业义务扩展为系统测试、数据治理和机构责任。</w:t>
      </w:r>
    </w:p>
    <w:p>
      <w:pPr>
        <w:spacing w:after="60" w:line="264" w:lineRule="auto"/>
        <w:jc w:val="left"/>
      </w:pPr>
      <w:r>
        <w:rPr>
          <w:rFonts w:ascii="Noto Sans CJK SC" w:hAnsi="Noto Sans CJK SC" w:eastAsia="Noto Sans CJK SC"/>
          <w:b w:val="0"/>
          <w:sz w:val="18"/>
        </w:rPr>
        <w:t>2. 伦理主体分布化：从单一口译员扩展到开发者、供应商、采购方、部署机构、监督口译员与终端用户；问责制成为直接AI口译文件最一致的议题。</w:t>
      </w:r>
    </w:p>
    <w:p>
      <w:pPr>
        <w:spacing w:after="60" w:line="264" w:lineRule="auto"/>
        <w:jc w:val="left"/>
      </w:pPr>
      <w:r>
        <w:rPr>
          <w:rFonts w:ascii="Noto Sans CJK SC" w:hAnsi="Noto Sans CJK SC" w:eastAsia="Noto Sans CJK SC"/>
          <w:b w:val="0"/>
          <w:sz w:val="18"/>
        </w:rPr>
        <w:t>3. 传统职业伦理的保留项：诚信、持续专业发展、合同遵守、同业关系和利益冲突在AI治理文件中明显不足，统一框架不能只复制通用AI原则。</w:t>
      </w:r>
    </w:p>
    <w:p>
      <w:pPr>
        <w:spacing w:after="60" w:line="264" w:lineRule="auto"/>
        <w:jc w:val="left"/>
      </w:pPr>
      <w:r>
        <w:rPr>
          <w:rFonts w:ascii="Noto Sans CJK SC" w:hAnsi="Noto Sans CJK SC" w:eastAsia="Noto Sans CJK SC"/>
          <w:b w:val="0"/>
          <w:sz w:val="18"/>
        </w:rPr>
        <w:t>4. AI治理的新增项：数据保护、算法公平、透明度、知情同意、人机协作和社会责任构成传统口译守则需要吸收并口译情境化的治理层。</w:t>
      </w:r>
    </w:p>
    <w:p>
      <w:pPr>
        <w:spacing w:after="60" w:line="264" w:lineRule="auto"/>
        <w:jc w:val="left"/>
      </w:pPr>
      <w:r>
        <w:rPr>
          <w:rFonts w:ascii="Noto Sans CJK SC" w:hAnsi="Noto Sans CJK SC" w:eastAsia="Noto Sans CJK SC"/>
          <w:b w:val="0"/>
          <w:sz w:val="18"/>
        </w:rPr>
        <w:t>5. 共同缺口：可解释性、跨专业协作、当事人自主的显性化及AI错误后的即时补救仍不充分，应成为框架建构与后续访谈/专家验证的重点。</w:t>
      </w:r>
    </w:p>
    <w:p>
      <w:pPr>
        <w:pStyle w:val="Heading1"/>
      </w:pPr>
      <w:r>
        <w:t>四、使用限制</w:t>
      </w:r>
    </w:p>
    <w:p>
      <w:pPr>
        <w:spacing w:after="60" w:line="264" w:lineRule="auto"/>
        <w:jc w:val="left"/>
      </w:pPr>
      <w:r>
        <w:rPr>
          <w:rFonts w:ascii="Noto Sans CJK SC" w:hAnsi="Noto Sans CJK SC" w:eastAsia="Noto Sans CJK SC"/>
          <w:b w:val="0"/>
          <w:sz w:val="17"/>
        </w:rPr>
        <w:t>本矩阵是基于现有29份文件形成的解释性工作稿。四组规模不均，尤其核心AI口译治理语料仅2份；因此不宜进行显著性推断，也不应将零覆盖解释为实践中完全不存在。最终论证应回到原始条款，并通过口译情境反例、原则冲突分析和专家意见进一步核验。</w:t>
      </w:r>
    </w:p>
    <w:sectPr w:rsidR="00FC693F" w:rsidRPr="0006063C" w:rsidSect="00034616">
      <w:pgSz w:w="23811" w:h="16838" w:orient="landscape"/>
      <w:pgMar w:top="567" w:right="454" w:bottom="567"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