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Arial" w:hAnsi="Arial" w:eastAsia="Noto Sans CJK SC"/>
          <w:b/>
          <w:i w:val="0"/>
          <w:color w:val="1F4E79"/>
          <w:sz w:val="36"/>
        </w:rPr>
        <w:t>错误更正义务：概念审计、原始编码修订与统计审定</w:t>
      </w:r>
    </w:p>
    <w:p>
      <w:pPr>
        <w:spacing w:after="160" w:before="0" w:line="276" w:lineRule="auto"/>
        <w:jc w:val="center"/>
      </w:pPr>
      <w:r>
        <w:rPr>
          <w:rFonts w:ascii="Arial" w:hAnsi="Arial" w:eastAsia="Noto Sans CJK SC"/>
          <w:b w:val="0"/>
          <w:i/>
          <w:color w:val="5A5A5A"/>
          <w:sz w:val="20"/>
        </w:rPr>
        <w:t>Error Rectification: Conceptual Audit, Coding Amendments and Adjudicated Frequencies</w:t>
      </w:r>
    </w:p>
    <w:p>
      <w:pPr>
        <w:spacing w:after="60" w:before="0" w:line="276" w:lineRule="auto"/>
      </w:pPr>
      <w:r>
        <w:rPr>
          <w:rFonts w:ascii="Arial" w:hAnsi="Arial" w:eastAsia="Noto Sans CJK SC"/>
          <w:b/>
          <w:i w:val="0"/>
          <w:color w:val="1F4E79"/>
          <w:sz w:val="26"/>
        </w:rPr>
        <w:t>一、审定依据</w:t>
      </w:r>
    </w:p>
    <w:p>
      <w:pPr>
        <w:spacing w:after="80" w:before="0" w:line="276" w:lineRule="auto"/>
      </w:pPr>
      <w:r>
        <w:rPr>
          <w:rFonts w:ascii="Arial" w:hAnsi="Arial" w:eastAsia="Noto Sans CJK SC"/>
          <w:b w:val="0"/>
          <w:i w:val="0"/>
          <w:sz w:val="20"/>
        </w:rPr>
        <w:t>编码手册将“错误更正义务”限定为：具体译文、源文错误或歧义已经发生或被发现之后，规范主体被要求主动纠正、告知、覆盖、撤回或采取补救。事前预防、定期审计、收集反馈和系统优化原则上归入“质量保证”；责任追踪与责任主体分配归入“问责制/责任归属”。</w:t>
      </w:r>
    </w:p>
    <w:p>
      <w:pPr>
        <w:spacing w:after="60" w:before="80" w:line="276" w:lineRule="auto"/>
      </w:pPr>
      <w:r>
        <w:rPr>
          <w:rFonts w:ascii="Arial" w:hAnsi="Arial" w:eastAsia="Noto Sans CJK SC"/>
          <w:b/>
          <w:i w:val="0"/>
          <w:color w:val="1F4E79"/>
          <w:sz w:val="26"/>
        </w:rPr>
        <w:t>二、本轮最重要的修正</w:t>
      </w:r>
    </w:p>
    <w:p>
      <w:pPr>
        <w:pStyle w:val="ListBullet"/>
        <w:spacing w:after="40"/>
      </w:pPr>
      <w:r>
        <w:rPr>
          <w:rFonts w:ascii="Arial" w:hAnsi="Arial" w:eastAsia="Noto Sans CJK SC"/>
          <w:b w:val="0"/>
          <w:i w:val="0"/>
          <w:sz w:val="20"/>
        </w:rPr>
        <w:t>ISO 4.4.2 Feedback不再计入错误更正，改归质量保证；但ISO 4.3.3明确要求在必要时纠正目标语内容，因此ISO文件仍计入错误更正。</w:t>
      </w:r>
    </w:p>
    <w:p>
      <w:pPr>
        <w:pStyle w:val="ListBullet"/>
        <w:spacing w:after="40"/>
      </w:pPr>
      <w:r>
        <w:rPr>
          <w:rFonts w:ascii="Arial" w:hAnsi="Arial" w:eastAsia="Noto Sans CJK SC"/>
          <w:b w:val="0"/>
          <w:i w:val="0"/>
          <w:sz w:val="20"/>
        </w:rPr>
        <w:t>TAC 8.5用户反馈改归质量保证；TAC 6.1.6问题追踪改归问责制，TAC文件不再计入错误更正。</w:t>
      </w:r>
    </w:p>
    <w:p>
      <w:pPr>
        <w:pStyle w:val="ListBullet"/>
        <w:spacing w:after="40"/>
      </w:pPr>
      <w:r>
        <w:rPr>
          <w:rFonts w:ascii="Arial" w:hAnsi="Arial" w:eastAsia="Noto Sans CJK SC"/>
          <w:b w:val="0"/>
          <w:i w:val="0"/>
          <w:sz w:val="20"/>
        </w:rPr>
        <w:t>SAFE-AI新增直接错误更正编码；AUSIT保留直接错误更正编码。其余8份AI立场文件未发现满足操作定义的独立条款。</w:t>
      </w:r>
    </w:p>
    <w:p>
      <w:pPr>
        <w:pStyle w:val="ListBullet"/>
        <w:spacing w:after="40"/>
      </w:pPr>
      <w:r>
        <w:rPr>
          <w:rFonts w:ascii="Arial" w:hAnsi="Arial" w:eastAsia="Noto Sans CJK SC"/>
          <w:b w:val="0"/>
          <w:i w:val="0"/>
          <w:sz w:val="20"/>
        </w:rPr>
        <w:t>最终文件覆盖率：H类8/17（47%）；严格M类1/2（50%）；AI宣言类2/10（20%）；广义M类3/12（25%）。</w:t>
      </w:r>
    </w:p>
    <w:p>
      <w:pPr>
        <w:spacing w:after="60" w:before="80" w:line="276" w:lineRule="auto"/>
      </w:pPr>
      <w:r>
        <w:rPr>
          <w:rFonts w:ascii="Arial" w:hAnsi="Arial" w:eastAsia="Noto Sans CJK SC"/>
          <w:b/>
          <w:i w:val="0"/>
          <w:color w:val="1F4E79"/>
          <w:sz w:val="26"/>
        </w:rPr>
        <w:t>三、为什么不是0/2或0/10</w:t>
      </w:r>
    </w:p>
    <w:p>
      <w:pPr>
        <w:spacing w:after="80" w:before="0" w:line="276" w:lineRule="auto"/>
      </w:pPr>
      <w:r>
        <w:rPr>
          <w:rFonts w:ascii="Arial" w:hAnsi="Arial" w:eastAsia="Noto Sans CJK SC"/>
          <w:b w:val="0"/>
          <w:i w:val="0"/>
          <w:sz w:val="20"/>
        </w:rPr>
        <w:t>“机器本身不会承担道德义务”这一判断仍然成立，但技术文件可以规范译后编辑者、人工监督者、服务商、机构和系统功能。ISO 4.3.3规范译后编辑者纠正具体目标语内容；SAFE-AI与AUSIT规范人工监督者在发现错误后介入、纠正或告知。因此，不能把所有技术侧纠错都删除。真正应删除的是把“反馈—未来改进”误当作“具体错误—当前纠正”的编码。</w:t>
      </w:r>
    </w:p>
    <w:p>
      <w:pPr>
        <w:spacing w:after="60" w:before="80" w:line="276" w:lineRule="auto"/>
      </w:pPr>
      <w:r>
        <w:rPr>
          <w:rFonts w:ascii="Arial" w:hAnsi="Arial" w:eastAsia="Noto Sans CJK SC"/>
          <w:b/>
          <w:i w:val="0"/>
          <w:color w:val="1F4E79"/>
          <w:sz w:val="26"/>
        </w:rPr>
        <w:t>四、审定后的解释命题</w:t>
      </w:r>
    </w:p>
    <w:p>
      <w:pPr>
        <w:spacing w:after="80" w:before="0" w:line="276" w:lineRule="auto"/>
      </w:pPr>
      <w:r>
        <w:rPr>
          <w:rFonts w:ascii="Arial" w:hAnsi="Arial" w:eastAsia="Noto Sans CJK SC"/>
          <w:b w:val="0"/>
          <w:i w:val="0"/>
          <w:sz w:val="20"/>
        </w:rPr>
        <w:t>H类更常把错误更正写成人类专业人员面对具体错误的即时或个案义务；严格M与AI立场文件中的直接纠错较少，且通常通过译后编辑、人工监督、审计和申诉机制落实。技术侧仍明显欠缺已交付错误的主动通知、撤回、赔偿与统一救济程序。</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