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CE223B" w14:textId="2E207C73" w:rsidR="00E74E38" w:rsidRPr="00ED6116" w:rsidRDefault="00000000">
      <w:pPr>
        <w:jc w:val="center"/>
        <w:rPr>
          <w:rFonts w:ascii="宋体" w:eastAsia="宋体" w:hAnsi="宋体"/>
          <w:sz w:val="24"/>
          <w:szCs w:val="24"/>
          <w:lang w:eastAsia="zh-CN"/>
        </w:rPr>
      </w:pPr>
      <w:r w:rsidRPr="00ED6116">
        <w:rPr>
          <w:rFonts w:ascii="宋体" w:eastAsia="宋体" w:hAnsi="宋体"/>
          <w:b/>
          <w:color w:val="1F4E79"/>
          <w:sz w:val="24"/>
          <w:szCs w:val="24"/>
          <w:lang w:eastAsia="zh-CN"/>
        </w:rPr>
        <w:t>H类—严格M类—AI宣言</w:t>
      </w:r>
      <w:r w:rsidR="0027483D">
        <w:rPr>
          <w:rFonts w:ascii="宋体" w:eastAsia="宋体" w:hAnsi="宋体" w:hint="eastAsia"/>
          <w:b/>
          <w:color w:val="1F4E79"/>
          <w:sz w:val="24"/>
          <w:szCs w:val="24"/>
          <w:lang w:eastAsia="zh-CN"/>
        </w:rPr>
        <w:t>类</w:t>
      </w:r>
      <w:r w:rsidRPr="00ED6116">
        <w:rPr>
          <w:rFonts w:ascii="宋体" w:eastAsia="宋体" w:hAnsi="宋体"/>
          <w:b/>
          <w:color w:val="1F4E79"/>
          <w:sz w:val="24"/>
          <w:szCs w:val="24"/>
          <w:lang w:eastAsia="zh-CN"/>
        </w:rPr>
        <w:t>—广义M类：人机伦理共性—差异—缺口解释矩阵</w:t>
      </w:r>
    </w:p>
    <w:p w14:paraId="7E03EF9F" w14:textId="0DF32C8A" w:rsidR="00E74E38" w:rsidRPr="00ED6116" w:rsidRDefault="00000000">
      <w:pPr>
        <w:rPr>
          <w:rFonts w:ascii="宋体" w:eastAsia="宋体" w:hAnsi="宋体"/>
          <w:sz w:val="24"/>
          <w:szCs w:val="24"/>
          <w:lang w:eastAsia="zh-CN"/>
        </w:rPr>
      </w:pPr>
      <w:r w:rsidRPr="00ED6116">
        <w:rPr>
          <w:rFonts w:ascii="宋体" w:eastAsia="宋体" w:hAnsi="宋体"/>
          <w:sz w:val="24"/>
          <w:szCs w:val="24"/>
          <w:lang w:eastAsia="zh-CN"/>
        </w:rPr>
        <w:t>用途：把H/M口径的频率结果转化为可用统一框架建构的解释性证据。统计只表示文件是否显性提及某维度，不代表价值重要性。</w:t>
      </w:r>
    </w:p>
    <w:p w14:paraId="780C9DD2" w14:textId="3939852C" w:rsidR="00E74E38" w:rsidRPr="00ED6116" w:rsidRDefault="00000000">
      <w:pPr>
        <w:rPr>
          <w:rFonts w:ascii="宋体" w:eastAsia="宋体" w:hAnsi="宋体"/>
          <w:sz w:val="24"/>
          <w:szCs w:val="24"/>
          <w:lang w:eastAsia="zh-CN"/>
        </w:rPr>
      </w:pPr>
      <w:r w:rsidRPr="00ED6116">
        <w:rPr>
          <w:rFonts w:ascii="宋体" w:eastAsia="宋体" w:hAnsi="宋体"/>
          <w:sz w:val="24"/>
          <w:szCs w:val="24"/>
          <w:lang w:eastAsia="zh-CN"/>
        </w:rPr>
        <w:t>统计列：①H类职业伦理文件17份；②严格M类技术标准2份；③AI/MT立场文件10份；④广义M类12份（②＋③）。</w:t>
      </w:r>
    </w:p>
    <w:p w14:paraId="170F7342" w14:textId="77777777" w:rsidR="00E74E38" w:rsidRPr="00ED6116" w:rsidRDefault="00000000">
      <w:pPr>
        <w:pStyle w:val="1"/>
        <w:rPr>
          <w:rFonts w:ascii="宋体" w:eastAsia="宋体" w:hAnsi="宋体"/>
          <w:sz w:val="24"/>
          <w:szCs w:val="24"/>
          <w:lang w:eastAsia="zh-CN"/>
        </w:rPr>
      </w:pPr>
      <w:r w:rsidRPr="00ED6116">
        <w:rPr>
          <w:rFonts w:ascii="宋体" w:eastAsia="宋体" w:hAnsi="宋体"/>
          <w:sz w:val="24"/>
          <w:szCs w:val="24"/>
          <w:lang w:eastAsia="zh-CN"/>
        </w:rPr>
        <w:t>一、解释类型与使用原则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634"/>
        <w:gridCol w:w="7634"/>
        <w:gridCol w:w="7634"/>
      </w:tblGrid>
      <w:tr w:rsidR="00E74E38" w:rsidRPr="00ED6116" w14:paraId="07C330AA" w14:textId="77777777">
        <w:trPr>
          <w:jc w:val="center"/>
          <w:tblHeader w:val="true"/>
        </w:trPr>
        <w:tc>
          <w:tcPr>
            <w:tcW w:w="7634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C56918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ED6116">
              <w:rPr>
                <w:rFonts w:ascii="宋体" w:eastAsia="宋体" w:hAnsi="宋体"/>
                <w:b/>
                <w:color w:val="FFFFFF"/>
                <w:sz w:val="24"/>
                <w:szCs w:val="24"/>
              </w:rPr>
              <w:t>类型</w:t>
            </w:r>
            <w:proofErr w:type="spellEnd"/>
          </w:p>
        </w:tc>
        <w:tc>
          <w:tcPr>
            <w:tcW w:w="7634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5D8773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b/>
                <w:color w:val="FFFFFF"/>
                <w:sz w:val="24"/>
                <w:szCs w:val="24"/>
              </w:rPr>
              <w:t>含义</w:t>
            </w:r>
          </w:p>
        </w:tc>
        <w:tc>
          <w:tcPr>
            <w:tcW w:w="7634" w:type="dxa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22166E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b/>
                <w:color w:val="FFFFFF"/>
                <w:sz w:val="24"/>
                <w:szCs w:val="24"/>
              </w:rPr>
              <w:t>颜色</w:t>
            </w:r>
          </w:p>
        </w:tc>
      </w:tr>
      <w:tr w:rsidR="00E74E38" w:rsidRPr="00ED6116" w14:paraId="00F8A402" w14:textId="77777777">
        <w:trPr>
          <w:jc w:val="center"/>
        </w:trPr>
        <w:tc>
          <w:tcPr>
            <w:tcW w:w="763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2E8DCC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共性</w:t>
            </w:r>
          </w:p>
        </w:tc>
        <w:tc>
          <w:tcPr>
            <w:tcW w:w="763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02B31D" w14:textId="77004F29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多个语料组共同覆盖，或保护价值连续</w:t>
            </w:r>
            <w:r w:rsidR="00ED6116" w:rsidRPr="00ED6116"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/>
              </w:rPr>
              <w:t>，</w:t>
            </w: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但落实方式由职业义务转为技术治理。</w:t>
            </w:r>
          </w:p>
        </w:tc>
        <w:tc>
          <w:tcPr>
            <w:tcW w:w="7634" w:type="dxa"/>
            <w:shd w:val="clear" w:color="auto" w:fill="DDEB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9E1782" w14:textId="77777777" w:rsidR="00E74E38" w:rsidRPr="00ED6116" w:rsidRDefault="00E74E38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</w:p>
        </w:tc>
      </w:tr>
      <w:tr w:rsidR="00E74E38" w:rsidRPr="00ED6116" w14:paraId="73633D61" w14:textId="77777777">
        <w:trPr>
          <w:jc w:val="center"/>
        </w:trPr>
        <w:tc>
          <w:tcPr>
            <w:tcW w:w="763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B882AB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差异</w:t>
            </w:r>
            <w:proofErr w:type="spellEnd"/>
          </w:p>
        </w:tc>
        <w:tc>
          <w:tcPr>
            <w:tcW w:w="763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79BED4" w14:textId="39BC22A8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某类语料显著突出，反映不同规范重心。</w:t>
            </w:r>
          </w:p>
        </w:tc>
        <w:tc>
          <w:tcPr>
            <w:tcW w:w="763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9A8EBF" w14:textId="77777777" w:rsidR="00E74E38" w:rsidRPr="00ED6116" w:rsidRDefault="00E74E38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</w:p>
        </w:tc>
      </w:tr>
      <w:tr w:rsidR="00E74E38" w:rsidRPr="00ED6116" w14:paraId="082D0873" w14:textId="77777777">
        <w:trPr>
          <w:jc w:val="center"/>
        </w:trPr>
        <w:tc>
          <w:tcPr>
            <w:tcW w:w="763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36A627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AI治理扩展</w:t>
            </w:r>
            <w:proofErr w:type="spellEnd"/>
          </w:p>
        </w:tc>
        <w:tc>
          <w:tcPr>
            <w:tcW w:w="763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910001" w14:textId="450A8F03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传统口译守则覆盖低，而AI/MT文件引入</w:t>
            </w:r>
            <w:r w:rsidR="00ED6116" w:rsidRPr="00ED6116"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/>
              </w:rPr>
              <w:t>，</w:t>
            </w: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或显著强化的新兴治理议题。</w:t>
            </w:r>
          </w:p>
        </w:tc>
        <w:tc>
          <w:tcPr>
            <w:tcW w:w="7634" w:type="dxa"/>
            <w:shd w:val="clear" w:color="auto" w:fill="E4DFE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BA1E67" w14:textId="77777777" w:rsidR="00E74E38" w:rsidRPr="00ED6116" w:rsidRDefault="00E74E38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</w:p>
        </w:tc>
      </w:tr>
      <w:tr w:rsidR="00E74E38" w:rsidRPr="00ED6116" w14:paraId="4B07A871" w14:textId="77777777">
        <w:trPr>
          <w:jc w:val="center"/>
        </w:trPr>
        <w:tc>
          <w:tcPr>
            <w:tcW w:w="763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A9CBA4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缺口</w:t>
            </w:r>
            <w:proofErr w:type="spellEnd"/>
          </w:p>
        </w:tc>
        <w:tc>
          <w:tcPr>
            <w:tcW w:w="763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F61E56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各组均覆盖不足，或特定环节尚未形成稳定、独立、可操作的规范。</w:t>
            </w:r>
          </w:p>
        </w:tc>
        <w:tc>
          <w:tcPr>
            <w:tcW w:w="7634" w:type="dxa"/>
            <w:shd w:val="clear" w:color="auto" w:fill="F4CCC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F66EDC" w14:textId="77777777" w:rsidR="00E74E38" w:rsidRPr="00ED6116" w:rsidRDefault="00E74E38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</w:p>
        </w:tc>
      </w:tr>
    </w:tbl>
    <w:p w14:paraId="7FD5CB91" w14:textId="77777777" w:rsidR="00E74E38" w:rsidRPr="00ED6116" w:rsidRDefault="00000000">
      <w:pPr>
        <w:rPr>
          <w:rFonts w:ascii="宋体" w:eastAsia="宋体" w:hAnsi="宋体"/>
          <w:sz w:val="24"/>
          <w:szCs w:val="24"/>
          <w:lang w:eastAsia="zh-CN"/>
        </w:rPr>
      </w:pPr>
      <w:r w:rsidRPr="00ED6116">
        <w:rPr>
          <w:rFonts w:ascii="宋体" w:eastAsia="宋体" w:hAnsi="宋体"/>
          <w:sz w:val="24"/>
          <w:szCs w:val="24"/>
          <w:lang w:eastAsia="zh-CN"/>
        </w:rPr>
        <w:t>判定不是机械阈值分类，而是综合H类、严格M类、AI宣言类和广义M类的覆盖率、绝对文件数、原始条款表达及口译适用性作出的解释性判断。广义M仅用于检查把正式标准与立场文件合并后结论是否改变。</w:t>
      </w:r>
    </w:p>
    <w:p>
      <w:pPr>
        <w:spacing w:after="60" w:line="264" w:lineRule="auto"/>
      </w:pPr>
      <w:r>
        <w:rPr>
          <w:rFonts w:ascii="Arial" w:hAnsi="Arial" w:eastAsia="Noto Sans CJK SC"/>
          <w:b/>
          <w:i w:val="0"/>
          <w:color w:val="963C1E"/>
          <w:sz w:val="18"/>
        </w:rPr>
        <w:t>错误更正审计规则：反馈、定期监测和未来系统优化不等于具体错误发生后的纠正义务。只有明确要求纠正、告知、覆盖、撤回或补救的条款才计入第10维。</w:t>
      </w:r>
    </w:p>
    <w:p w14:paraId="47EF75AF" w14:textId="77777777" w:rsidR="00E74E38" w:rsidRPr="00ED6116" w:rsidRDefault="00000000">
      <w:pPr>
        <w:pStyle w:val="1"/>
        <w:rPr>
          <w:rFonts w:ascii="宋体" w:eastAsia="宋体" w:hAnsi="宋体"/>
          <w:sz w:val="24"/>
          <w:szCs w:val="24"/>
        </w:rPr>
      </w:pPr>
      <w:r w:rsidRPr="00ED6116">
        <w:rPr>
          <w:rFonts w:ascii="宋体" w:eastAsia="宋体" w:hAnsi="宋体"/>
          <w:sz w:val="24"/>
          <w:szCs w:val="24"/>
        </w:rPr>
        <w:t>二、29维解释矩阵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822"/>
        <w:gridCol w:w="822"/>
        <w:gridCol w:w="822"/>
        <w:gridCol w:w="822"/>
        <w:gridCol w:w="1474"/>
        <w:gridCol w:w="2608"/>
        <w:gridCol w:w="2721"/>
        <w:gridCol w:w="2721"/>
        <w:gridCol w:w="2664"/>
        <w:gridCol w:w="2835"/>
      </w:tblGrid>
      <w:tr w:rsidR="00E74E38" w:rsidRPr="00ED6116" w14:paraId="5628428F" w14:textId="77777777">
        <w:trPr>
          <w:tblHeader/>
          <w:jc w:val="center"/>
          <w:tblHeader w:val="true"/>
        </w:trPr>
        <w:tc>
          <w:tcPr>
            <w:tcW w:w="1247" w:type="dxa"/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8285BA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b/>
                <w:color w:val="FFFFFF"/>
                <w:sz w:val="24"/>
                <w:szCs w:val="24"/>
              </w:rPr>
              <w:t>维度</w:t>
            </w:r>
          </w:p>
        </w:tc>
        <w:tc>
          <w:tcPr>
            <w:tcW w:w="822" w:type="dxa"/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511187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b/>
                <w:color w:val="FFFFFF"/>
                <w:sz w:val="24"/>
                <w:szCs w:val="24"/>
              </w:rPr>
              <w:t>H类</w:t>
            </w:r>
            <w:r w:rsidRPr="00ED6116">
              <w:rPr>
                <w:rFonts w:ascii="宋体" w:eastAsia="宋体" w:hAnsi="宋体"/>
                <w:b/>
                <w:color w:val="FFFFFF"/>
                <w:sz w:val="24"/>
                <w:szCs w:val="24"/>
              </w:rPr>
              <w:br/>
              <w:t>17份</w:t>
            </w:r>
          </w:p>
        </w:tc>
        <w:tc>
          <w:tcPr>
            <w:tcW w:w="822" w:type="dxa"/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1A4389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b/>
                <w:color w:val="FFFFFF"/>
                <w:sz w:val="24"/>
                <w:szCs w:val="24"/>
              </w:rPr>
              <w:t>严格M</w:t>
            </w:r>
            <w:r w:rsidRPr="00ED6116">
              <w:rPr>
                <w:rFonts w:ascii="宋体" w:eastAsia="宋体" w:hAnsi="宋体"/>
                <w:b/>
                <w:color w:val="FFFFFF"/>
                <w:sz w:val="24"/>
                <w:szCs w:val="24"/>
              </w:rPr>
              <w:br/>
              <w:t>2份</w:t>
            </w:r>
          </w:p>
        </w:tc>
        <w:tc>
          <w:tcPr>
            <w:tcW w:w="822" w:type="dxa"/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9D89EF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b/>
                <w:color w:val="FFFFFF"/>
                <w:sz w:val="24"/>
                <w:szCs w:val="24"/>
              </w:rPr>
              <w:t>AI宣言</w:t>
            </w:r>
            <w:r w:rsidRPr="00ED6116">
              <w:rPr>
                <w:rFonts w:ascii="宋体" w:eastAsia="宋体" w:hAnsi="宋体"/>
                <w:b/>
                <w:color w:val="FFFFFF"/>
                <w:sz w:val="24"/>
                <w:szCs w:val="24"/>
              </w:rPr>
              <w:br/>
              <w:t>10份</w:t>
            </w:r>
          </w:p>
        </w:tc>
        <w:tc>
          <w:tcPr>
            <w:tcW w:w="822" w:type="dxa"/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C13AE9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b/>
                <w:color w:val="FFFFFF"/>
                <w:sz w:val="24"/>
                <w:szCs w:val="24"/>
              </w:rPr>
              <w:t>广义M</w:t>
            </w:r>
            <w:r w:rsidRPr="00ED6116">
              <w:rPr>
                <w:rFonts w:ascii="宋体" w:eastAsia="宋体" w:hAnsi="宋体"/>
                <w:b/>
                <w:color w:val="FFFFFF"/>
                <w:sz w:val="24"/>
                <w:szCs w:val="24"/>
              </w:rPr>
              <w:br/>
              <w:t>12份</w:t>
            </w:r>
          </w:p>
        </w:tc>
        <w:tc>
          <w:tcPr>
            <w:tcW w:w="1474" w:type="dxa"/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FDF97A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b/>
                <w:color w:val="FFFFFF"/>
                <w:sz w:val="24"/>
                <w:szCs w:val="24"/>
              </w:rPr>
              <w:t>类型判定</w:t>
            </w:r>
          </w:p>
        </w:tc>
        <w:tc>
          <w:tcPr>
            <w:tcW w:w="2608" w:type="dxa"/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588853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b/>
                <w:color w:val="FFFFFF"/>
                <w:sz w:val="24"/>
                <w:szCs w:val="24"/>
              </w:rPr>
              <w:t>H类语料如何表达</w:t>
            </w:r>
          </w:p>
        </w:tc>
        <w:tc>
          <w:tcPr>
            <w:tcW w:w="2721" w:type="dxa"/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72AB2C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b/>
                <w:color w:val="FFFFFF"/>
                <w:sz w:val="24"/>
                <w:szCs w:val="24"/>
              </w:rPr>
              <w:t>M/AI语料如何表达</w:t>
            </w:r>
          </w:p>
        </w:tc>
        <w:tc>
          <w:tcPr>
            <w:tcW w:w="2721" w:type="dxa"/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1D9AB6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b/>
                <w:color w:val="FFFFFF"/>
                <w:sz w:val="24"/>
                <w:szCs w:val="24"/>
              </w:rPr>
              <w:t>差异与结构变化</w:t>
            </w:r>
          </w:p>
        </w:tc>
        <w:tc>
          <w:tcPr>
            <w:tcW w:w="2664" w:type="dxa"/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C52F40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b/>
                <w:color w:val="FFFFFF"/>
                <w:sz w:val="24"/>
                <w:szCs w:val="24"/>
              </w:rPr>
              <w:t>口译情境化判断</w:t>
            </w:r>
          </w:p>
        </w:tc>
        <w:tc>
          <w:tcPr>
            <w:tcW w:w="2835" w:type="dxa"/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B2A31B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b/>
                <w:color w:val="FFFFFF"/>
                <w:sz w:val="24"/>
                <w:szCs w:val="24"/>
              </w:rPr>
              <w:t>对统一框架的启示</w:t>
            </w:r>
          </w:p>
        </w:tc>
      </w:tr>
      <w:tr w:rsidR="00E74E38" w:rsidRPr="00ED6116" w14:paraId="4A635505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8E5C9C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1. 保密性</w:t>
            </w:r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83C5C2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17/17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(100%)</w:t>
            </w:r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466B55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0/2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(0%)</w:t>
            </w:r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907D23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4/10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(40%)</w:t>
            </w:r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1D78B6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4/12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(33%)</w:t>
            </w:r>
          </w:p>
        </w:tc>
        <w:tc>
          <w:tcPr>
            <w:tcW w:w="1474" w:type="dxa"/>
            <w:shd w:val="clear" w:color="auto" w:fill="E4DFE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ACC584" w14:textId="48D1CCC4" w:rsidR="00E74E38" w:rsidRPr="00ED6116" w:rsidRDefault="00000000">
            <w:pPr>
              <w:spacing w:after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b/>
                <w:sz w:val="24"/>
                <w:szCs w:val="24"/>
                <w:lang w:eastAsia="zh-CN"/>
              </w:rPr>
              <w:t>差异</w:t>
            </w:r>
            <w:r w:rsidR="0027483D">
              <w:rPr>
                <w:rFonts w:ascii="宋体" w:eastAsia="宋体" w:hAnsi="宋体" w:hint="eastAsia"/>
                <w:b/>
                <w:sz w:val="24"/>
                <w:szCs w:val="24"/>
                <w:lang w:eastAsia="zh-CN"/>
              </w:rPr>
              <w:t>又共性</w:t>
            </w:r>
            <w:r w:rsidRPr="00ED6116">
              <w:rPr>
                <w:rFonts w:ascii="宋体" w:eastAsia="宋体" w:hAnsi="宋体"/>
                <w:b/>
                <w:sz w:val="24"/>
                <w:szCs w:val="24"/>
                <w:lang w:eastAsia="zh-CN"/>
              </w:rPr>
              <w:t>—H类核心，AI</w:t>
            </w:r>
            <w:r w:rsidR="0027483D">
              <w:rPr>
                <w:rFonts w:ascii="宋体" w:eastAsia="宋体" w:hAnsi="宋体" w:hint="eastAsia"/>
                <w:b/>
                <w:sz w:val="24"/>
                <w:szCs w:val="24"/>
                <w:lang w:eastAsia="zh-CN"/>
              </w:rPr>
              <w:t>以自己的方式延续</w:t>
            </w:r>
          </w:p>
        </w:tc>
        <w:tc>
          <w:tcPr>
            <w:tcW w:w="260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224C45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以译员个人守密义务表达：工作中获知的信息未经授权不得披露或利用；信任关系是核心。</w:t>
            </w:r>
          </w:p>
        </w:tc>
        <w:tc>
          <w:tcPr>
            <w:tcW w:w="27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D4BB72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AI文件更多把问题表述为平台泄密、公共工具输入风险、数据流向与法律责任；保密逐步技术化。</w:t>
            </w:r>
          </w:p>
        </w:tc>
        <w:tc>
          <w:tcPr>
            <w:tcW w:w="27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27F016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伦理目标连续，但责任载体从“译员不说”扩展为访问控制、供应商政策、系统安全与机构监督。</w:t>
            </w:r>
          </w:p>
        </w:tc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325695" w14:textId="64C7AF8F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实时音视频、声纹、远程平台录制及云端转写使口译保密风险</w:t>
            </w:r>
            <w:r w:rsidR="00ED6116" w:rsidRPr="00ED6116"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/>
              </w:rPr>
              <w:t>大大</w:t>
            </w: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高于</w:t>
            </w:r>
            <w:r w:rsidR="00ED6116" w:rsidRPr="00ED6116"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/>
              </w:rPr>
              <w:t>传统情景</w:t>
            </w: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，不能仅沿用个人守密条款。</w:t>
            </w:r>
          </w:p>
        </w:tc>
        <w:tc>
          <w:tcPr>
            <w:tcW w:w="283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305CC2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统一框架应同时规定个人守密、数据最小化、平台准入、录制/留存规则和泄露后的通知与责任。</w:t>
            </w:r>
          </w:p>
        </w:tc>
      </w:tr>
      <w:tr w:rsidR="00E74E38" w:rsidRPr="00ED6116" w14:paraId="02F83845" w14:textId="77777777">
        <w:trPr>
          <w:cantSplit/>
          <w:jc w:val="center"/>
        </w:trPr>
        <w:tc>
          <w:tcPr>
            <w:tcW w:w="1247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C172C9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 xml:space="preserve">2. </w:t>
            </w:r>
            <w:proofErr w:type="spellStart"/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胜任能力</w:t>
            </w:r>
            <w:proofErr w:type="spellEnd"/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5D7E49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16/17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(94%)</w:t>
            </w:r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C27442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1/2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(50%)</w:t>
            </w:r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F2FB96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5/10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(50%)</w:t>
            </w:r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AAB42F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6/12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(50%)</w:t>
            </w:r>
          </w:p>
        </w:tc>
        <w:tc>
          <w:tcPr>
            <w:tcW w:w="1474" w:type="dxa"/>
            <w:shd w:val="clear" w:color="auto" w:fill="DDEB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CF514E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b/>
                <w:sz w:val="24"/>
                <w:szCs w:val="24"/>
              </w:rPr>
              <w:t>共性—共享核心</w:t>
            </w:r>
          </w:p>
        </w:tc>
        <w:tc>
          <w:tcPr>
            <w:tcW w:w="2608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6EFC32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强调任务承接前的自我评估、资质、语言组合、专业知识与充分准备；能力不足时须拒绝或告知。</w:t>
            </w:r>
          </w:p>
        </w:tc>
        <w:tc>
          <w:tcPr>
            <w:tcW w:w="2721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CDE25B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强调系统能力边界、场景适用性、低资源语言缺陷，以及使用者的AI素养和专业判断。</w:t>
            </w:r>
          </w:p>
        </w:tc>
        <w:tc>
          <w:tcPr>
            <w:tcW w:w="2721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718EE1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“胜任”由人的资质门槛扩展为人、系统和工作流三重适配：谁能做、工具能否做、组合是否适合做。</w:t>
            </w:r>
          </w:p>
        </w:tc>
        <w:tc>
          <w:tcPr>
            <w:tcW w:w="26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833511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口译无法依靠充分后编辑，能力判断必须在任务前完成，并按语言、口音、场景和风险等级细化。</w:t>
            </w:r>
          </w:p>
        </w:tc>
        <w:tc>
          <w:tcPr>
            <w:tcW w:w="2835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97933B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设置人类资质、系统验证、场景适用性和AI素养四项准入条件；高风险任务不得以技术短缺替代人员资质。</w:t>
            </w:r>
          </w:p>
        </w:tc>
      </w:tr>
      <w:tr w:rsidR="00E74E38" w:rsidRPr="00ED6116" w14:paraId="75C57C70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936FE2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 xml:space="preserve">3. </w:t>
            </w:r>
            <w:proofErr w:type="spellStart"/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忠实</w:t>
            </w:r>
            <w:proofErr w:type="spellEnd"/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/</w:t>
            </w:r>
            <w:proofErr w:type="spellStart"/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准确</w:t>
            </w:r>
            <w:proofErr w:type="spellEnd"/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37E927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14/17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(82%)</w:t>
            </w:r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F8428C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1/2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(50%)</w:t>
            </w:r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1DA0B2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6/10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(60%)</w:t>
            </w:r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AA8A1D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7/12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(58%)</w:t>
            </w:r>
          </w:p>
        </w:tc>
        <w:tc>
          <w:tcPr>
            <w:tcW w:w="1474" w:type="dxa"/>
            <w:shd w:val="clear" w:color="auto" w:fill="DDEB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811C8E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b/>
                <w:sz w:val="24"/>
                <w:szCs w:val="24"/>
              </w:rPr>
              <w:t>共性—共享核心</w:t>
            </w:r>
          </w:p>
        </w:tc>
        <w:tc>
          <w:tcPr>
            <w:tcW w:w="260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3138E5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要求完整、忠实地传递意义、语气、语域和意图，禁止增删、歪曲与无根据猜测。</w:t>
            </w:r>
          </w:p>
        </w:tc>
        <w:tc>
          <w:tcPr>
            <w:tcW w:w="27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6083B4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强调自动系统在文化语境、细微含义和高风险内容中的准确性限制，反对未经核验的输出。</w:t>
            </w:r>
          </w:p>
        </w:tc>
        <w:tc>
          <w:tcPr>
            <w:tcW w:w="27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A97A6A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职业伦理把准确视为译员行为义务；技术治理把它转化为可测试的系统性能、适用边界和审核责任。</w:t>
            </w:r>
          </w:p>
        </w:tc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CA0F3E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口译错误即时进入互动、难以撤回，还会改变发言轮次和程序结果，因此准确性必须结合即时干预能力。</w:t>
            </w:r>
          </w:p>
        </w:tc>
        <w:tc>
          <w:tcPr>
            <w:tcW w:w="283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B7BC73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保留准确原则，同时加入场景化测试、实时置信提示、人工接管、错误记录与事后复盘。</w:t>
            </w:r>
          </w:p>
        </w:tc>
      </w:tr>
      <w:tr w:rsidR="00E74E38" w:rsidRPr="00ED6116" w14:paraId="45274D07" w14:textId="77777777">
        <w:trPr>
          <w:cantSplit/>
          <w:jc w:val="center"/>
        </w:trPr>
        <w:tc>
          <w:tcPr>
            <w:tcW w:w="1247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43CDD9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 xml:space="preserve">4. </w:t>
            </w:r>
            <w:proofErr w:type="spellStart"/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诚信</w:t>
            </w:r>
            <w:proofErr w:type="spellEnd"/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/</w:t>
            </w:r>
            <w:proofErr w:type="spellStart"/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职业操守</w:t>
            </w:r>
            <w:proofErr w:type="spellEnd"/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3CCCBC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16/17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(94%)</w:t>
            </w:r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87060A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0/2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(0%)</w:t>
            </w:r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FF7AE2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4/10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(40%)</w:t>
            </w:r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1A145C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4/12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(33%)</w:t>
            </w:r>
          </w:p>
        </w:tc>
        <w:tc>
          <w:tcPr>
            <w:tcW w:w="1474" w:type="dxa"/>
            <w:shd w:val="clear" w:color="auto" w:fill="FFF2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8BC240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b/>
                <w:sz w:val="24"/>
                <w:szCs w:val="24"/>
              </w:rPr>
              <w:t>差异—H类突出</w:t>
            </w:r>
          </w:p>
        </w:tc>
        <w:tc>
          <w:tcPr>
            <w:tcW w:w="2608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A7C6E6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以诚实、正直、真实陈述资质、维护职业声誉和审慎行事为核心，强调从业者品格。</w:t>
            </w:r>
          </w:p>
        </w:tc>
        <w:tc>
          <w:tcPr>
            <w:tcW w:w="2721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86417D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少量文件将诚信转化为开发者、供应商和采购方不得误导、不得以免责条款掩盖风险等组织行为。</w:t>
            </w:r>
          </w:p>
        </w:tc>
        <w:tc>
          <w:tcPr>
            <w:tcW w:w="2721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8B53BF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从个人德性和职业身份，转向企业行为、产品宣称与采购治理；但技术文件中显性“诚信”语言仍较弱。</w:t>
            </w:r>
          </w:p>
        </w:tc>
        <w:tc>
          <w:tcPr>
            <w:tcW w:w="26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18791C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口译服务链中，机构可能比译员更能决定AI是否使用、如何宣传和如何收费，诚信义务必须覆盖组织。</w:t>
            </w:r>
          </w:p>
        </w:tc>
        <w:tc>
          <w:tcPr>
            <w:tcW w:w="2835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EB2640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把诚信规定为多主体义务：真实宣传系统能力、如实披露人工参与程度、不得伪称“人工口译”或“已审核”。</w:t>
            </w:r>
          </w:p>
        </w:tc>
      </w:tr>
      <w:tr w:rsidR="00E74E38" w:rsidRPr="00ED6116" w14:paraId="7BDED1E6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C2CEFA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lastRenderedPageBreak/>
              <w:t xml:space="preserve">5. </w:t>
            </w:r>
            <w:proofErr w:type="spellStart"/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持续专业发展</w:t>
            </w:r>
            <w:proofErr w:type="spellEnd"/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8B0099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16/17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(94%)</w:t>
            </w:r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A2B4C3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0/2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(0%)</w:t>
            </w:r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FD8C1C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3/10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(30%)</w:t>
            </w:r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F4DDE6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3/12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(25%)</w:t>
            </w:r>
          </w:p>
        </w:tc>
        <w:tc>
          <w:tcPr>
            <w:tcW w:w="1474" w:type="dxa"/>
            <w:shd w:val="clear" w:color="auto" w:fill="FFF2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F17E38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b/>
                <w:sz w:val="24"/>
                <w:szCs w:val="24"/>
              </w:rPr>
              <w:t>差异—H类突出</w:t>
            </w:r>
          </w:p>
        </w:tc>
        <w:tc>
          <w:tcPr>
            <w:tcW w:w="260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8416FD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要求译员持续培训、更新语言与专业知识并维持长期胜任，职业组织普遍将其视为常规义务。</w:t>
            </w:r>
          </w:p>
        </w:tc>
        <w:tc>
          <w:tcPr>
            <w:tcW w:w="27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72D048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AI文件偶尔提出AI素养、批判性思维及技能更新，但直接AI口译文件未形成稳定的持续培训要求。</w:t>
            </w:r>
          </w:p>
        </w:tc>
        <w:tc>
          <w:tcPr>
            <w:tcW w:w="27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AD5B54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传统CPD围绕语言和专业技能；人机环境需要增加模型局限、数据风险、故障应对和人工接管训练。</w:t>
            </w:r>
          </w:p>
        </w:tc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95AB69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系统快速迭代会使一次性培训迅速过时，口译员和采购/管理人员都需持续更新。</w:t>
            </w:r>
          </w:p>
        </w:tc>
        <w:tc>
          <w:tcPr>
            <w:tcW w:w="283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DDCBC2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将AI素养纳入强制CPD，并规定角色化培训、定期再认证、故障演练及新版本上线前培训。</w:t>
            </w:r>
          </w:p>
        </w:tc>
      </w:tr>
      <w:tr w:rsidR="00E74E38" w:rsidRPr="00ED6116" w14:paraId="4E948255" w14:textId="77777777">
        <w:trPr>
          <w:cantSplit/>
          <w:jc w:val="center"/>
        </w:trPr>
        <w:tc>
          <w:tcPr>
            <w:tcW w:w="1247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27717F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 xml:space="preserve">6. </w:t>
            </w:r>
            <w:proofErr w:type="spellStart"/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合同</w:t>
            </w:r>
            <w:proofErr w:type="spellEnd"/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/</w:t>
            </w:r>
            <w:proofErr w:type="spellStart"/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承诺遵守</w:t>
            </w:r>
            <w:proofErr w:type="spellEnd"/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39E23D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12/17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(71%)</w:t>
            </w:r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A9147A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2/2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(100%)</w:t>
            </w:r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836FC0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0/10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(0%)</w:t>
            </w:r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62F403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2/12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(17%)</w:t>
            </w:r>
          </w:p>
        </w:tc>
        <w:tc>
          <w:tcPr>
            <w:tcW w:w="1474" w:type="dxa"/>
            <w:shd w:val="clear" w:color="auto" w:fill="DDEB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37FA12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b/>
                <w:sz w:val="24"/>
                <w:szCs w:val="24"/>
                <w:lang w:eastAsia="zh-CN"/>
              </w:rPr>
              <w:t>共性—正式标准共享，AI宣言缺失</w:t>
            </w:r>
          </w:p>
        </w:tc>
        <w:tc>
          <w:tcPr>
            <w:tcW w:w="2608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815C5B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强调事先约定工作条件、期限、设备、报酬和交付形式，并按约履行；变更须经各方同意。</w:t>
            </w:r>
          </w:p>
        </w:tc>
        <w:tc>
          <w:tcPr>
            <w:tcW w:w="2721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C0E468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AI治理文件很少以合同遵守作为独立伦理主题，纯MT标准更多呈现流程协议和记录要求。</w:t>
            </w:r>
          </w:p>
        </w:tc>
        <w:tc>
          <w:tcPr>
            <w:tcW w:w="2721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0718FD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AI使用会引入供应商、平台和数据条款，但现有治理文本尚未充分把这些问题转写为合同伦理。</w:t>
            </w:r>
          </w:p>
        </w:tc>
        <w:tc>
          <w:tcPr>
            <w:tcW w:w="26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566606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口译任务需事先约定AI参与程度、录制、数据去向、人工备援、故障处置和责任承担。</w:t>
            </w:r>
          </w:p>
        </w:tc>
        <w:tc>
          <w:tcPr>
            <w:tcW w:w="2835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94ABED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统一框架应设置最低合同披露清单，并禁止服务期间未经同意改变人工/AI模式或数据用途。</w:t>
            </w:r>
          </w:p>
        </w:tc>
      </w:tr>
      <w:tr w:rsidR="00E74E38" w:rsidRPr="00ED6116" w14:paraId="38FAFB0E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58CB8D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 xml:space="preserve">7. </w:t>
            </w:r>
            <w:proofErr w:type="spellStart"/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公平</w:t>
            </w:r>
            <w:proofErr w:type="spellEnd"/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/</w:t>
            </w:r>
            <w:proofErr w:type="spellStart"/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中立</w:t>
            </w:r>
            <w:proofErr w:type="spellEnd"/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859D71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12/17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(71%)</w:t>
            </w:r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F5BAE4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0/2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(0%)</w:t>
            </w:r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0F7133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2/10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(20%)</w:t>
            </w:r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76B074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2/12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(17%)</w:t>
            </w:r>
          </w:p>
        </w:tc>
        <w:tc>
          <w:tcPr>
            <w:tcW w:w="1474" w:type="dxa"/>
            <w:shd w:val="clear" w:color="auto" w:fill="FFF2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5C46CE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b/>
                <w:sz w:val="24"/>
                <w:szCs w:val="24"/>
              </w:rPr>
              <w:t>差异—H类突出</w:t>
            </w:r>
          </w:p>
        </w:tc>
        <w:tc>
          <w:tcPr>
            <w:tcW w:w="260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151F8F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要求译员在多方互动中保持中立、公正，不因个人立场或关系偏袒任何一方。</w:t>
            </w:r>
          </w:p>
        </w:tc>
        <w:tc>
          <w:tcPr>
            <w:tcW w:w="27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6878CD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AI文件更常以公平服务、弱势用户补偿和偏差风险表达；技术层面的系统偏见通常另归算法公平。</w:t>
            </w:r>
          </w:p>
        </w:tc>
        <w:tc>
          <w:tcPr>
            <w:tcW w:w="27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EF5818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人类语境是行为选择与关系中立；技术语境是数据、设计和服务分配造成的结构性不平等。</w:t>
            </w:r>
          </w:p>
        </w:tc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1361B7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机器输出看似“中立”但可能隐藏训练偏差；同时人工监督者仍面临传统利益和立场冲突。</w:t>
            </w:r>
          </w:p>
        </w:tc>
        <w:tc>
          <w:tcPr>
            <w:tcW w:w="283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9890E2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保留互动中立，同时加入群体影响评估、差异化性能报告和弱势用户的补偿性保障。</w:t>
            </w:r>
          </w:p>
        </w:tc>
      </w:tr>
      <w:tr w:rsidR="00E74E38" w:rsidRPr="00ED6116" w14:paraId="363F1E8D" w14:textId="77777777">
        <w:trPr>
          <w:cantSplit/>
          <w:jc w:val="center"/>
        </w:trPr>
        <w:tc>
          <w:tcPr>
            <w:tcW w:w="1247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7E1078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 xml:space="preserve">8. </w:t>
            </w:r>
            <w:proofErr w:type="spellStart"/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质量保证</w:t>
            </w:r>
            <w:proofErr w:type="spellEnd"/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4A90E6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9/17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(53%)</w:t>
            </w:r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A5C86F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2/2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(100%)</w:t>
            </w:r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070DFC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7/10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(70%)</w:t>
            </w:r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B05735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9/12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(75%)</w:t>
            </w:r>
          </w:p>
        </w:tc>
        <w:tc>
          <w:tcPr>
            <w:tcW w:w="1474" w:type="dxa"/>
            <w:shd w:val="clear" w:color="auto" w:fill="DDEB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0E8437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b/>
                <w:sz w:val="24"/>
                <w:szCs w:val="24"/>
                <w:lang w:eastAsia="zh-CN"/>
              </w:rPr>
              <w:t>共性—M/AI治理强化</w:t>
            </w:r>
          </w:p>
        </w:tc>
        <w:tc>
          <w:tcPr>
            <w:tcW w:w="2608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F30467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通过准备、设备条件、同伴合作、审核流程及专业责任预防低质量输出。</w:t>
            </w:r>
          </w:p>
        </w:tc>
        <w:tc>
          <w:tcPr>
            <w:tcW w:w="2721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FCB5C4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强调基准测试、性能指标、验证、审计、定期复核和适用场景分级；外部MT标准覆盖最强。</w:t>
            </w:r>
          </w:p>
        </w:tc>
        <w:tc>
          <w:tcPr>
            <w:tcW w:w="2721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D5EB94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质量从个体专业努力扩展为可记录、可测试、可审计的全生命周期治理。</w:t>
            </w:r>
          </w:p>
        </w:tc>
        <w:tc>
          <w:tcPr>
            <w:tcW w:w="26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BB82A1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口译质量不仅是语言准确，还包括延迟、音视频稳定、说话人区分、语调和实时恢复能力。</w:t>
            </w:r>
          </w:p>
        </w:tc>
        <w:tc>
          <w:tcPr>
            <w:tcW w:w="2835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8F29B0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建立口译专属质量指标、部署前验证、运行中监测、人工抽审和版本变更后的重新评估。</w:t>
            </w:r>
          </w:p>
        </w:tc>
      </w:tr>
      <w:tr w:rsidR="00E74E38" w:rsidRPr="00ED6116" w14:paraId="1C9FEE02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83EA5B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 xml:space="preserve">9. </w:t>
            </w:r>
            <w:proofErr w:type="spellStart"/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文化</w:t>
            </w:r>
            <w:proofErr w:type="spellEnd"/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/</w:t>
            </w:r>
            <w:proofErr w:type="spellStart"/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语言能力</w:t>
            </w:r>
            <w:proofErr w:type="spellEnd"/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C26473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3/17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(18%)</w:t>
            </w:r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945CE1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1/2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(50%)</w:t>
            </w:r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BBFA0F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5/10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(50%)</w:t>
            </w:r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74CE85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6/12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(50%)</w:t>
            </w:r>
          </w:p>
        </w:tc>
        <w:tc>
          <w:tcPr>
            <w:tcW w:w="1474" w:type="dxa"/>
            <w:shd w:val="clear" w:color="auto" w:fill="E4DFE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237937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b/>
                <w:sz w:val="24"/>
                <w:szCs w:val="24"/>
                <w:lang w:eastAsia="zh-CN"/>
              </w:rPr>
              <w:t>差异—M/AI语料突出</w:t>
            </w:r>
          </w:p>
        </w:tc>
        <w:tc>
          <w:tcPr>
            <w:tcW w:w="260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EE15F6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仅少数专业守则把文化敏感性、方言和非标准语言能力单列；许多内容可能被并入一般胜任。</w:t>
            </w:r>
          </w:p>
        </w:tc>
        <w:tc>
          <w:tcPr>
            <w:tcW w:w="27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CD562F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AI与MT文件反复强调文化细微差别、低资源语言、方言/口音和语言多样性，突出系统局限。</w:t>
            </w:r>
          </w:p>
        </w:tc>
        <w:tc>
          <w:tcPr>
            <w:tcW w:w="27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701E6A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文化能力由个人知识属性扩展为训练数据代表性、语言资源分配和模型本地化问题。</w:t>
            </w:r>
          </w:p>
        </w:tc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4BC471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口译高度依赖非言语线索、地区口音、语用和权力关系，不能把文化能力简化为词汇正确率。</w:t>
            </w:r>
          </w:p>
        </w:tc>
        <w:tc>
          <w:tcPr>
            <w:tcW w:w="283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BBE729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要求按语言变体报告性能，纳入文化专家与目标社群评估，并保留人工情境判断。</w:t>
            </w:r>
          </w:p>
        </w:tc>
      </w:tr>
      <w:tr w:rsidR="00E74E38" w:rsidRPr="00ED6116" w14:paraId="15664983" w14:textId="77777777">
        <w:trPr>
          <w:cantSplit/>
          <w:jc w:val="center"/>
        </w:trPr>
        <w:tc>
          <w:tcPr>
            <w:tcW w:w="1247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7A7B99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 xml:space="preserve">10. </w:t>
            </w:r>
            <w:proofErr w:type="spellStart"/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错误更正义务</w:t>
            </w:r>
            <w:proofErr w:type="spellEnd"/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i w:val="0"/>
                <w:sz w:val="14"/>
              </w:rPr>
              <w:t>8/17</w:t>
              <w:br/>
              <w:t>(47%)</w:t>
            </w:r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i w:val="0"/>
                <w:sz w:val="14"/>
              </w:rPr>
              <w:t>1/2</w:t>
              <w:br/>
              <w:t>(50%)</w:t>
            </w:r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i w:val="0"/>
                <w:sz w:val="14"/>
              </w:rPr>
              <w:t>2/10</w:t>
              <w:br/>
              <w:t>(20%)</w:t>
            </w:r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i w:val="0"/>
                <w:sz w:val="14"/>
              </w:rPr>
              <w:t>3/12</w:t>
              <w:br/>
              <w:t>(25%)</w:t>
            </w:r>
          </w:p>
        </w:tc>
        <w:tc>
          <w:tcPr>
            <w:tcW w:w="1474" w:type="dxa"/>
            <w:shd w:val="clear" w:color="auto" w:fill="DDEB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i w:val="0"/>
                <w:sz w:val="14"/>
              </w:rPr>
              <w:t>共性但机制分化—H类个案纠错较成熟，M/AI直接补救有限</w:t>
            </w:r>
          </w:p>
        </w:tc>
        <w:tc>
          <w:tcPr>
            <w:tcW w:w="2608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i w:val="0"/>
                <w:sz w:val="14"/>
              </w:rPr>
              <w:t>H类职业规范通常要求译员在发现具体错误、遗漏或歧义后立即指出、纠正、澄清并尽量减少后果，规范时点明确位于错误发生之后。</w:t>
            </w:r>
          </w:p>
        </w:tc>
        <w:tc>
          <w:tcPr>
            <w:tcW w:w="2721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i w:val="0"/>
                <w:sz w:val="14"/>
              </w:rPr>
              <w:t>ISO 4.3.3要求译后编辑者在必要时纠正目标语内容；SAFE-AI要求审计使已识别错误得到纠正；AUSIT要求人工监督者纠正误译或告知客户。TAC 8.5仅规定反馈和系统持续改进，不构成个案纠错。</w:t>
            </w:r>
          </w:p>
        </w:tc>
        <w:tc>
          <w:tcPr>
            <w:tcW w:w="2721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i w:val="0"/>
                <w:sz w:val="14"/>
              </w:rPr>
              <w:t>H类主要把纠错规定为专业人员针对当次错误的行为义务；M/AI通过译后编辑、人工监督、审计与投诉机制落实。技术侧对已交付错误的主动通知、撤回、赔偿和统一救济仍覆盖不足。</w:t>
            </w:r>
          </w:p>
        </w:tc>
        <w:tc>
          <w:tcPr>
            <w:tcW w:w="26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i w:val="0"/>
                <w:sz w:val="14"/>
              </w:rPr>
              <w:t>口译输出实时进入互动，错误往往难以撤回；必须同时规定即时打断与纠正、事后记录更正、受影响者告知，以及系统层面的错误学习，且不能把反馈优化代替当次补救。</w:t>
            </w:r>
          </w:p>
        </w:tc>
        <w:tc>
          <w:tcPr>
            <w:tcW w:w="2835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i w:val="0"/>
                <w:sz w:val="14"/>
              </w:rPr>
              <w:t>统一框架应区分三层：①具体错误后的即时/个案纠正；②受影响者通知、版本撤回与救济；③基于错误数据的系统持续改进。三层不能相互替代。</w:t>
            </w:r>
          </w:p>
        </w:tc>
      </w:tr>
      <w:tr w:rsidR="00E74E38" w:rsidRPr="00ED6116" w14:paraId="09A5BCD8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1ED68C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 xml:space="preserve">11. </w:t>
            </w:r>
            <w:proofErr w:type="spellStart"/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隐私</w:t>
            </w:r>
            <w:proofErr w:type="spellEnd"/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/</w:t>
            </w:r>
            <w:proofErr w:type="spellStart"/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数据保护</w:t>
            </w:r>
            <w:proofErr w:type="spellEnd"/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1975EE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0/17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(0%)</w:t>
            </w:r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CDE05D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1/2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(50%)</w:t>
            </w:r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250C67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2/10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(20%)</w:t>
            </w:r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59A33B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3/12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(25%)</w:t>
            </w:r>
          </w:p>
        </w:tc>
        <w:tc>
          <w:tcPr>
            <w:tcW w:w="1474" w:type="dxa"/>
            <w:shd w:val="clear" w:color="auto" w:fill="E4DFE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D80A24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b/>
                <w:sz w:val="24"/>
                <w:szCs w:val="24"/>
              </w:rPr>
              <w:t>差异—M类新增</w:t>
            </w:r>
          </w:p>
        </w:tc>
        <w:tc>
          <w:tcPr>
            <w:tcW w:w="260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09DCA6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核心职业语料几乎以一般保密概念处理信息风险，未形成数据生命周期治理。</w:t>
            </w:r>
          </w:p>
        </w:tc>
        <w:tc>
          <w:tcPr>
            <w:tcW w:w="27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62906B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AI文件规范数据采集、训练、访问、存储、共享、退出和销毁，并援引隐私法律与安全审计。</w:t>
            </w:r>
          </w:p>
        </w:tc>
        <w:tc>
          <w:tcPr>
            <w:tcW w:w="27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4B109D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从人际守密转向数据基础设施治理，责任延伸到开发者、云平台、供应商、采购方和监管者。</w:t>
            </w:r>
          </w:p>
        </w:tc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C95CA1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音频、视频、声纹及多方敏感对话可能被二次训练；同意与保密需要按数据生命周期管理。</w:t>
            </w:r>
          </w:p>
        </w:tc>
        <w:tc>
          <w:tcPr>
            <w:tcW w:w="283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F38799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设立数据最小化、用途限制、退出机制、保存期限、跨境传输、第三方处理和删除证明。</w:t>
            </w:r>
          </w:p>
        </w:tc>
      </w:tr>
      <w:tr w:rsidR="00E74E38" w:rsidRPr="00ED6116" w14:paraId="1BE92D6D" w14:textId="77777777">
        <w:trPr>
          <w:cantSplit/>
          <w:jc w:val="center"/>
        </w:trPr>
        <w:tc>
          <w:tcPr>
            <w:tcW w:w="1247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4A7027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 xml:space="preserve">12. </w:t>
            </w:r>
            <w:proofErr w:type="spellStart"/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拒绝有害工作</w:t>
            </w:r>
            <w:proofErr w:type="spellEnd"/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BD5F28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7/17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(41%)</w:t>
            </w:r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F87D50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1/2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(50%)</w:t>
            </w:r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EC4299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3/10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(30%)</w:t>
            </w:r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C3CDF0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4/12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(33%)</w:t>
            </w:r>
          </w:p>
        </w:tc>
        <w:tc>
          <w:tcPr>
            <w:tcW w:w="1474" w:type="dxa"/>
            <w:shd w:val="clear" w:color="auto" w:fill="DDEBF7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C0284F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b/>
                <w:sz w:val="24"/>
                <w:szCs w:val="24"/>
              </w:rPr>
              <w:t>共性—风险边界</w:t>
            </w:r>
          </w:p>
        </w:tc>
        <w:tc>
          <w:tcPr>
            <w:tcW w:w="2608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D73A69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允许或要求译员拒绝违法、有害、明显无法合规或危及自身安全与福祉的任务。</w:t>
            </w:r>
          </w:p>
        </w:tc>
        <w:tc>
          <w:tcPr>
            <w:tcW w:w="2721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E8B492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反对在高风险场景部署未经监督或能力不足的系统，并要求在伤害风险不可接受时停止使用。</w:t>
            </w:r>
          </w:p>
        </w:tc>
        <w:tc>
          <w:tcPr>
            <w:tcW w:w="2721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642A7D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拒绝权从个人职业判断扩展为机构的“不部署/停止部署”义务和采购禁区。</w:t>
            </w:r>
          </w:p>
        </w:tc>
        <w:tc>
          <w:tcPr>
            <w:tcW w:w="26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BEFB5D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医疗、司法、庇护、危机干预等场景需要清晰的AI禁用或强制人工接管门槛。</w:t>
            </w:r>
          </w:p>
        </w:tc>
        <w:tc>
          <w:tcPr>
            <w:tcW w:w="2835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BE0596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建立风险分级和停止规则，并保护译员、用户及员工提出异议或拒绝AI而不受惩罚。</w:t>
            </w:r>
          </w:p>
        </w:tc>
      </w:tr>
      <w:tr w:rsidR="00E74E38" w:rsidRPr="00ED6116" w14:paraId="5CF3FCAD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807195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lastRenderedPageBreak/>
              <w:t xml:space="preserve">13. </w:t>
            </w:r>
            <w:proofErr w:type="spellStart"/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社会责任</w:t>
            </w:r>
            <w:proofErr w:type="spellEnd"/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9249CD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0/17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(0%)</w:t>
            </w:r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263429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1/2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(50%)</w:t>
            </w:r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ABD7F1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4/10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(40%)</w:t>
            </w:r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882A97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5/12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(42%)</w:t>
            </w:r>
          </w:p>
        </w:tc>
        <w:tc>
          <w:tcPr>
            <w:tcW w:w="1474" w:type="dxa"/>
            <w:shd w:val="clear" w:color="auto" w:fill="E4DFE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D6CE3A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b/>
                <w:sz w:val="24"/>
                <w:szCs w:val="24"/>
              </w:rPr>
              <w:t>差异—M/AI新增</w:t>
            </w:r>
          </w:p>
        </w:tc>
        <w:tc>
          <w:tcPr>
            <w:tcW w:w="260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B26C27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核心职业守则几乎不以环境、社会结构和行业长期影响为独立主题。</w:t>
            </w:r>
          </w:p>
        </w:tc>
        <w:tc>
          <w:tcPr>
            <w:tcW w:w="27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EBC8EB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AI/MT文件关注能源消耗、语言生态、去技能化、公共资金使用、国家与社会风险及行业可持续性。</w:t>
            </w:r>
          </w:p>
        </w:tc>
        <w:tc>
          <w:tcPr>
            <w:tcW w:w="27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87B46A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责任范围由具体委托关系扩展至社会公众、语言共同体、环境和未来从业者。</w:t>
            </w:r>
          </w:p>
        </w:tc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212692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公共服务口译涉及平等获得司法、医疗和教育，技术采购不能只以成本和速度衡量。</w:t>
            </w:r>
          </w:p>
        </w:tc>
        <w:tc>
          <w:tcPr>
            <w:tcW w:w="283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D15D45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把公共利益影响评估纳入采购与部署，包括环境成本、语言资源分配、劳动力影响和服务可及性。</w:t>
            </w:r>
          </w:p>
        </w:tc>
      </w:tr>
      <w:tr w:rsidR="00E74E38" w:rsidRPr="00ED6116" w14:paraId="639F2484" w14:textId="77777777">
        <w:trPr>
          <w:cantSplit/>
          <w:jc w:val="center"/>
        </w:trPr>
        <w:tc>
          <w:tcPr>
            <w:tcW w:w="1247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31662C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 xml:space="preserve">14. </w:t>
            </w:r>
            <w:proofErr w:type="spellStart"/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同业团结</w:t>
            </w:r>
            <w:proofErr w:type="spellEnd"/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/</w:t>
            </w:r>
            <w:proofErr w:type="spellStart"/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合作</w:t>
            </w:r>
            <w:proofErr w:type="spellEnd"/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2959FC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12/17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(71%)</w:t>
            </w:r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6DF4A3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1/2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(50%)</w:t>
            </w:r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4ECDC3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2/10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(20%)</w:t>
            </w:r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385C53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3/12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(25%)</w:t>
            </w:r>
          </w:p>
        </w:tc>
        <w:tc>
          <w:tcPr>
            <w:tcW w:w="1474" w:type="dxa"/>
            <w:shd w:val="clear" w:color="auto" w:fill="FFF2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3AB59D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b/>
                <w:sz w:val="24"/>
                <w:szCs w:val="24"/>
              </w:rPr>
              <w:t>差异—H类突出</w:t>
            </w:r>
          </w:p>
        </w:tc>
        <w:tc>
          <w:tcPr>
            <w:tcW w:w="2608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564398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强调同行互助、公平竞争、争议解决、新人培养及共同维护职业标准。</w:t>
            </w:r>
          </w:p>
        </w:tc>
        <w:tc>
          <w:tcPr>
            <w:tcW w:w="2721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6BE5ED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桥接文件偶尔呼吁行业生态合作；外部翻译材料更多关注协会、工会和职业可持续性。</w:t>
            </w:r>
          </w:p>
        </w:tc>
        <w:tc>
          <w:tcPr>
            <w:tcW w:w="2721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60886A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AI可能重构行业分工并加剧议价不平等，但技术治理文件尚未系统承接传统同业伦理。</w:t>
            </w:r>
          </w:p>
        </w:tc>
        <w:tc>
          <w:tcPr>
            <w:tcW w:w="26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5E4A1C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人机口译需要同行共享故障经验、风险事件和最佳实践，同时避免供应商保密阻碍公共学习。</w:t>
            </w:r>
          </w:p>
        </w:tc>
        <w:tc>
          <w:tcPr>
            <w:tcW w:w="2835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4DFAE5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建立行业事故报告、同行支持、共享评估资源和保护举报者的共同体机制。</w:t>
            </w:r>
          </w:p>
        </w:tc>
      </w:tr>
      <w:tr w:rsidR="00E74E38" w:rsidRPr="00ED6116" w14:paraId="2A1ED3D7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48C96C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 xml:space="preserve">15. </w:t>
            </w:r>
            <w:proofErr w:type="spellStart"/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利益冲突披露</w:t>
            </w:r>
            <w:proofErr w:type="spellEnd"/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641C88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11/17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(65%)</w:t>
            </w:r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A7879E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0/2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(0%)</w:t>
            </w:r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0A75B0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0/10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(0%)</w:t>
            </w:r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51D11A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0/12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(0%)</w:t>
            </w:r>
          </w:p>
        </w:tc>
        <w:tc>
          <w:tcPr>
            <w:tcW w:w="1474" w:type="dxa"/>
            <w:shd w:val="clear" w:color="auto" w:fill="FFF2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CFCF80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b/>
                <w:sz w:val="24"/>
                <w:szCs w:val="24"/>
              </w:rPr>
              <w:t>差异—H类专有</w:t>
            </w:r>
          </w:p>
        </w:tc>
        <w:tc>
          <w:tcPr>
            <w:tcW w:w="260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584168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要求披露并回避可能影响公正判断的个人、商业或关系利益，核心职业语料覆盖较高。</w:t>
            </w:r>
          </w:p>
        </w:tc>
        <w:tc>
          <w:tcPr>
            <w:tcW w:w="27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D21FCD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AI治理与MT材料几乎未将供应商利益、采购激励、数据商业利益写为独立冲突披露义务。</w:t>
            </w:r>
          </w:p>
        </w:tc>
        <w:tc>
          <w:tcPr>
            <w:tcW w:w="27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1AE053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传统冲突集中于译员与当事人关系；AI环境新增开发者、供应商、采购者和评测者的商业冲突。</w:t>
            </w:r>
          </w:p>
        </w:tc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1CBCB9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机构可能因节省成本而夸大自动口译适用性，评估机构也可能与产品方存在利益关系。</w:t>
            </w:r>
          </w:p>
        </w:tc>
        <w:tc>
          <w:tcPr>
            <w:tcW w:w="283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80E6B0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扩大利益冲突定义，要求披露供应商关系、资助来源、评测独立性、成本激励与数据商业用途。</w:t>
            </w:r>
          </w:p>
        </w:tc>
      </w:tr>
      <w:tr w:rsidR="00E74E38" w:rsidRPr="00ED6116" w14:paraId="5FCF5F33" w14:textId="77777777">
        <w:trPr>
          <w:cantSplit/>
          <w:jc w:val="center"/>
        </w:trPr>
        <w:tc>
          <w:tcPr>
            <w:tcW w:w="1247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B1BA24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 xml:space="preserve">16. </w:t>
            </w:r>
            <w:proofErr w:type="spellStart"/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透明度</w:t>
            </w:r>
            <w:proofErr w:type="spellEnd"/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3EEB84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5/17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(29%)</w:t>
            </w:r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DE0B22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2/2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(100%)</w:t>
            </w:r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5DEBA6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7/10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(70%)</w:t>
            </w:r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26000B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9/12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(75%)</w:t>
            </w:r>
          </w:p>
        </w:tc>
        <w:tc>
          <w:tcPr>
            <w:tcW w:w="1474" w:type="dxa"/>
            <w:shd w:val="clear" w:color="auto" w:fill="E4DFE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DC7D6F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b/>
                <w:sz w:val="24"/>
                <w:szCs w:val="24"/>
              </w:rPr>
              <w:t>差异—M/AI核心</w:t>
            </w:r>
          </w:p>
        </w:tc>
        <w:tc>
          <w:tcPr>
            <w:tcW w:w="2608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C50A8D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传统守则中的透明多为即时告知、澄清、披露关系或说明角色边界，覆盖有限。</w:t>
            </w:r>
          </w:p>
        </w:tc>
        <w:tc>
          <w:tcPr>
            <w:tcW w:w="2721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32AD65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AI文件要求标识AI使用、能力边界、训练数据、质量等级、真实成本、风险、审核状态和申诉渠道。</w:t>
            </w:r>
          </w:p>
        </w:tc>
        <w:tc>
          <w:tcPr>
            <w:tcW w:w="2721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32E44B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从个体沟通行为转化为产品、流程和供应链的系统性披露义务。</w:t>
            </w:r>
          </w:p>
        </w:tc>
        <w:tc>
          <w:tcPr>
            <w:tcW w:w="26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6CDA99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口译中的披露必须实时、可理解且不干扰沟通；仅在合同或隐私政策中埋藏信息不足。</w:t>
            </w:r>
          </w:p>
        </w:tc>
        <w:tc>
          <w:tcPr>
            <w:tcW w:w="2835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0B191D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规定用户前置告知、现场可见标识、能力与风险说明、人工参与程度及重大变更再次确认。</w:t>
            </w:r>
          </w:p>
        </w:tc>
      </w:tr>
      <w:tr w:rsidR="00E74E38" w:rsidRPr="00ED6116" w14:paraId="0D6FF24C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84166C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 xml:space="preserve">17. </w:t>
            </w:r>
            <w:proofErr w:type="spellStart"/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知识产权保护</w:t>
            </w:r>
            <w:proofErr w:type="spellEnd"/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5D007B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5/17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(29%)</w:t>
            </w:r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E840F5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1/2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(50%)</w:t>
            </w:r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10BB6B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4/10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(40%)</w:t>
            </w:r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F2A521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5/12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(42%)</w:t>
            </w:r>
          </w:p>
        </w:tc>
        <w:tc>
          <w:tcPr>
            <w:tcW w:w="1474" w:type="dxa"/>
            <w:shd w:val="clear" w:color="auto" w:fill="E4DFE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B5B1BC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b/>
                <w:sz w:val="24"/>
                <w:szCs w:val="24"/>
              </w:rPr>
              <w:t>差异—M/AI强化</w:t>
            </w:r>
          </w:p>
        </w:tc>
        <w:tc>
          <w:tcPr>
            <w:tcW w:w="260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7075D3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职业守则少量涉及授权使用、客户文件归属和尊重原作者权利。</w:t>
            </w:r>
          </w:p>
        </w:tc>
        <w:tc>
          <w:tcPr>
            <w:tcW w:w="27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651B82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AI与MT文件重点关注训练数据抓取、版权合规、作品来源和第三方内容的授权。</w:t>
            </w:r>
          </w:p>
        </w:tc>
        <w:tc>
          <w:tcPr>
            <w:tcW w:w="27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DD2DCF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知识产权从单次译作关系扩展到大规模数据训练、模型输出和平台再利用。</w:t>
            </w:r>
          </w:p>
        </w:tc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33210A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口译还涉及录音、转写、发言内容、术语库及口译员声音/表演数据的权利。</w:t>
            </w:r>
          </w:p>
        </w:tc>
        <w:tc>
          <w:tcPr>
            <w:tcW w:w="283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873101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明确训练与二次利用授权，区分客户内容、发言人权利、译员产出和平台生成数据。</w:t>
            </w:r>
          </w:p>
        </w:tc>
      </w:tr>
      <w:tr w:rsidR="00E74E38" w:rsidRPr="00ED6116" w14:paraId="7E123C8F" w14:textId="77777777">
        <w:trPr>
          <w:cantSplit/>
          <w:jc w:val="center"/>
        </w:trPr>
        <w:tc>
          <w:tcPr>
            <w:tcW w:w="1247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AEF58C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 xml:space="preserve">18. </w:t>
            </w:r>
            <w:proofErr w:type="spellStart"/>
            <w:r w:rsidRPr="00ED6116">
              <w:rPr>
                <w:rFonts w:ascii="宋体" w:eastAsia="宋体" w:hAnsi="宋体"/>
                <w:b/>
                <w:color w:val="000000"/>
                <w:sz w:val="24"/>
                <w:szCs w:val="24"/>
              </w:rPr>
              <w:t>技术使用规范</w:t>
            </w:r>
            <w:proofErr w:type="spellEnd"/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0ECE95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3/17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(18%)</w:t>
            </w:r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17F1FC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0/2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(0%)</w:t>
            </w:r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AB31CF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0/10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(0%)</w:t>
            </w:r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A27CD6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sz w:val="24"/>
                <w:szCs w:val="24"/>
              </w:rPr>
              <w:t>0/12</w:t>
            </w:r>
            <w:r w:rsidRPr="00ED6116">
              <w:rPr>
                <w:rFonts w:ascii="宋体" w:eastAsia="宋体" w:hAnsi="宋体"/>
                <w:sz w:val="24"/>
                <w:szCs w:val="24"/>
              </w:rPr>
              <w:br/>
              <w:t>(0%)</w:t>
            </w:r>
          </w:p>
        </w:tc>
        <w:tc>
          <w:tcPr>
            <w:tcW w:w="1474" w:type="dxa"/>
            <w:shd w:val="clear" w:color="auto" w:fill="F4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9BDEC7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</w:rPr>
            </w:pPr>
            <w:r w:rsidRPr="00ED6116">
              <w:rPr>
                <w:rFonts w:ascii="宋体" w:eastAsia="宋体" w:hAnsi="宋体"/>
                <w:b/>
                <w:sz w:val="24"/>
                <w:szCs w:val="24"/>
              </w:rPr>
              <w:t>缺口—总体低覆盖</w:t>
            </w:r>
          </w:p>
        </w:tc>
        <w:tc>
          <w:tcPr>
            <w:tcW w:w="2608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BE6B9D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少数职业守则直接规定技术应恰当使用、与客户协商并满足设备条件。</w:t>
            </w:r>
          </w:p>
        </w:tc>
        <w:tc>
          <w:tcPr>
            <w:tcW w:w="2721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33080D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AI文件虽大量讨论技术，但多数内容已被编码到透明、数据保护、人机协作、质量或拒绝有害工作。</w:t>
            </w:r>
          </w:p>
        </w:tc>
        <w:tc>
          <w:tcPr>
            <w:tcW w:w="2721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C8C665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低频主要是“具体维度优先”造成的分类结果，不应简单解释为技术使用伦理缺失。</w:t>
            </w:r>
          </w:p>
        </w:tc>
        <w:tc>
          <w:tcPr>
            <w:tcW w:w="26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6FEB47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仍需一个场景入口判断：是否应使用技术、使用何种模式、何时退出；该功能不能完全被下游维度取代。</w:t>
            </w:r>
          </w:p>
        </w:tc>
        <w:tc>
          <w:tcPr>
            <w:tcW w:w="2835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A1F3C9" w14:textId="58F91A77" w:rsidR="00E74E38" w:rsidRPr="00ED6116" w:rsidRDefault="00000000">
            <w:pPr>
              <w:spacing w:after="0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  <w:t>把“技术适用性评估”作为总程序要求，具体义务再链接到透明、质量、数据与责任条款。</w:t>
            </w:r>
          </w:p>
        </w:tc>
      </w:tr>
      <w:tr w:rsidR="00E74E38" w:rsidRPr="00ED6116" w14:paraId="5010C299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AA3249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b/>
                <w:color w:val="000000"/>
                <w:sz w:val="28"/>
                <w:szCs w:val="28"/>
              </w:rPr>
              <w:t xml:space="preserve">19. </w:t>
            </w:r>
            <w:proofErr w:type="spellStart"/>
            <w:r w:rsidRPr="00ED6116">
              <w:rPr>
                <w:rFonts w:ascii="宋体" w:eastAsia="宋体" w:hAnsi="宋体"/>
                <w:b/>
                <w:color w:val="000000"/>
                <w:sz w:val="28"/>
                <w:szCs w:val="28"/>
              </w:rPr>
              <w:t>角色界限</w:t>
            </w:r>
            <w:proofErr w:type="spellEnd"/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57E96B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sz w:val="28"/>
                <w:szCs w:val="28"/>
              </w:rPr>
              <w:t>14/17</w:t>
            </w:r>
            <w:r w:rsidRPr="00ED6116">
              <w:rPr>
                <w:rFonts w:ascii="宋体" w:eastAsia="宋体" w:hAnsi="宋体"/>
                <w:sz w:val="28"/>
                <w:szCs w:val="28"/>
              </w:rPr>
              <w:br/>
              <w:t>(82%)</w:t>
            </w:r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A291F9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sz w:val="28"/>
                <w:szCs w:val="28"/>
              </w:rPr>
              <w:t>0/2</w:t>
            </w:r>
            <w:r w:rsidRPr="00ED6116">
              <w:rPr>
                <w:rFonts w:ascii="宋体" w:eastAsia="宋体" w:hAnsi="宋体"/>
                <w:sz w:val="28"/>
                <w:szCs w:val="28"/>
              </w:rPr>
              <w:br/>
              <w:t>(0%)</w:t>
            </w:r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C6F112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sz w:val="28"/>
                <w:szCs w:val="28"/>
              </w:rPr>
              <w:t>5/10</w:t>
            </w:r>
            <w:r w:rsidRPr="00ED6116">
              <w:rPr>
                <w:rFonts w:ascii="宋体" w:eastAsia="宋体" w:hAnsi="宋体"/>
                <w:sz w:val="28"/>
                <w:szCs w:val="28"/>
              </w:rPr>
              <w:br/>
              <w:t>(50%)</w:t>
            </w:r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1B23DE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sz w:val="28"/>
                <w:szCs w:val="28"/>
              </w:rPr>
              <w:t>5/12</w:t>
            </w:r>
            <w:r w:rsidRPr="00ED6116">
              <w:rPr>
                <w:rFonts w:ascii="宋体" w:eastAsia="宋体" w:hAnsi="宋体"/>
                <w:sz w:val="28"/>
                <w:szCs w:val="28"/>
              </w:rPr>
              <w:br/>
              <w:t>(42%)</w:t>
            </w:r>
          </w:p>
        </w:tc>
        <w:tc>
          <w:tcPr>
            <w:tcW w:w="1474" w:type="dxa"/>
            <w:shd w:val="clear" w:color="auto" w:fill="E4DFE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3BDDCE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b/>
                <w:sz w:val="28"/>
                <w:szCs w:val="28"/>
                <w:lang w:eastAsia="zh-CN"/>
              </w:rPr>
              <w:t>差异—H类核心、AI桥接</w:t>
            </w:r>
          </w:p>
        </w:tc>
        <w:tc>
          <w:tcPr>
            <w:tcW w:w="260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B8FFBB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明确译员能做什么、不能做什么，禁止越权建议、兼任不相容角色并要求各方理解其职责。</w:t>
            </w:r>
          </w:p>
        </w:tc>
        <w:tc>
          <w:tcPr>
            <w:tcW w:w="27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375EE2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AI文件质疑机器能否被当作“口译员”，强调人类专业人员的最终判断和技术的工具地位。</w:t>
            </w:r>
          </w:p>
        </w:tc>
        <w:tc>
          <w:tcPr>
            <w:tcW w:w="27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3FD58D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角色边界由译员与当事人之间，扩展为译员、系统、供应商、机构和用户之间的权限配置。</w:t>
            </w:r>
          </w:p>
        </w:tc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F046B6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必须区分AI辅助、AI生成、自动口译、人工监控和人工接管，避免角色名称掩盖责任差异。</w:t>
            </w:r>
          </w:p>
        </w:tc>
        <w:tc>
          <w:tcPr>
            <w:tcW w:w="283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D56859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建立角色分类和权限表，明确哪些判断不可委托给机器、谁有最终决定权及谁负责告知。</w:t>
            </w:r>
          </w:p>
        </w:tc>
      </w:tr>
      <w:tr w:rsidR="00E74E38" w:rsidRPr="00ED6116" w14:paraId="4E099F17" w14:textId="77777777">
        <w:trPr>
          <w:cantSplit/>
          <w:jc w:val="center"/>
        </w:trPr>
        <w:tc>
          <w:tcPr>
            <w:tcW w:w="1247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063E21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b/>
                <w:color w:val="000000"/>
                <w:sz w:val="28"/>
                <w:szCs w:val="28"/>
              </w:rPr>
              <w:t xml:space="preserve">20. </w:t>
            </w:r>
            <w:proofErr w:type="spellStart"/>
            <w:r w:rsidRPr="00ED6116">
              <w:rPr>
                <w:rFonts w:ascii="宋体" w:eastAsia="宋体" w:hAnsi="宋体"/>
                <w:b/>
                <w:color w:val="000000"/>
                <w:sz w:val="28"/>
                <w:szCs w:val="28"/>
              </w:rPr>
              <w:t>公平报酬</w:t>
            </w:r>
            <w:proofErr w:type="spellEnd"/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8A3A9A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sz w:val="28"/>
                <w:szCs w:val="28"/>
              </w:rPr>
              <w:t>3/17</w:t>
            </w:r>
            <w:r w:rsidRPr="00ED6116">
              <w:rPr>
                <w:rFonts w:ascii="宋体" w:eastAsia="宋体" w:hAnsi="宋体"/>
                <w:sz w:val="28"/>
                <w:szCs w:val="28"/>
              </w:rPr>
              <w:br/>
              <w:t>(18%)</w:t>
            </w:r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F6EBC8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sz w:val="28"/>
                <w:szCs w:val="28"/>
              </w:rPr>
              <w:t>1/2</w:t>
            </w:r>
            <w:r w:rsidRPr="00ED6116">
              <w:rPr>
                <w:rFonts w:ascii="宋体" w:eastAsia="宋体" w:hAnsi="宋体"/>
                <w:sz w:val="28"/>
                <w:szCs w:val="28"/>
              </w:rPr>
              <w:br/>
              <w:t>(50%)</w:t>
            </w:r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C01639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sz w:val="28"/>
                <w:szCs w:val="28"/>
              </w:rPr>
              <w:t>6/10</w:t>
            </w:r>
            <w:r w:rsidRPr="00ED6116">
              <w:rPr>
                <w:rFonts w:ascii="宋体" w:eastAsia="宋体" w:hAnsi="宋体"/>
                <w:sz w:val="28"/>
                <w:szCs w:val="28"/>
              </w:rPr>
              <w:br/>
              <w:t>(60%)</w:t>
            </w:r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2155E3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sz w:val="28"/>
                <w:szCs w:val="28"/>
              </w:rPr>
              <w:t>7/12</w:t>
            </w:r>
            <w:r w:rsidRPr="00ED6116">
              <w:rPr>
                <w:rFonts w:ascii="宋体" w:eastAsia="宋体" w:hAnsi="宋体"/>
                <w:sz w:val="28"/>
                <w:szCs w:val="28"/>
              </w:rPr>
              <w:br/>
              <w:t>(58%)</w:t>
            </w:r>
          </w:p>
        </w:tc>
        <w:tc>
          <w:tcPr>
            <w:tcW w:w="1474" w:type="dxa"/>
            <w:shd w:val="clear" w:color="auto" w:fill="E4DFE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E89C62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b/>
                <w:sz w:val="28"/>
                <w:szCs w:val="28"/>
                <w:lang w:eastAsia="zh-CN"/>
              </w:rPr>
              <w:t>差异—AI劳动权利突出</w:t>
            </w:r>
          </w:p>
        </w:tc>
        <w:tc>
          <w:tcPr>
            <w:tcW w:w="2608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C46145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传统职业守则仅少量要求合理报酬和反对压价。</w:t>
            </w:r>
          </w:p>
        </w:tc>
        <w:tc>
          <w:tcPr>
            <w:tcW w:w="2721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D49611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AI宣言高频讨论低价译后编辑、价值分配不公、去技能化、创作者补偿及“免费数据”问题。</w:t>
            </w:r>
          </w:p>
        </w:tc>
        <w:tc>
          <w:tcPr>
            <w:tcW w:w="2721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8DE9B5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报酬从单笔合同问题扩展为技术转型中的劳动价值、平台权力与收益分配。</w:t>
            </w:r>
          </w:p>
        </w:tc>
        <w:tc>
          <w:tcPr>
            <w:tcW w:w="26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4BB54C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AI口译可能以“技术替代”压低口译费，却把监控、纠错和责任转嫁给人工。</w:t>
            </w:r>
          </w:p>
        </w:tc>
        <w:tc>
          <w:tcPr>
            <w:tcW w:w="2835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76F7B4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要求对人工监督、待命、纠错、数据授权和风险责任单独计酬，并禁止隐性无偿劳动。</w:t>
            </w:r>
          </w:p>
        </w:tc>
      </w:tr>
      <w:tr w:rsidR="00E74E38" w:rsidRPr="00ED6116" w14:paraId="4BD4401B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290201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b/>
                <w:color w:val="000000"/>
                <w:sz w:val="28"/>
                <w:szCs w:val="28"/>
              </w:rPr>
              <w:lastRenderedPageBreak/>
              <w:t xml:space="preserve">21. </w:t>
            </w:r>
            <w:proofErr w:type="spellStart"/>
            <w:r w:rsidRPr="00ED6116">
              <w:rPr>
                <w:rFonts w:ascii="宋体" w:eastAsia="宋体" w:hAnsi="宋体"/>
                <w:b/>
                <w:color w:val="000000"/>
                <w:sz w:val="28"/>
                <w:szCs w:val="28"/>
              </w:rPr>
              <w:t>人机协作规范</w:t>
            </w:r>
            <w:proofErr w:type="spellEnd"/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3ED999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sz w:val="28"/>
                <w:szCs w:val="28"/>
              </w:rPr>
              <w:t>0/17</w:t>
            </w:r>
            <w:r w:rsidRPr="00ED6116">
              <w:rPr>
                <w:rFonts w:ascii="宋体" w:eastAsia="宋体" w:hAnsi="宋体"/>
                <w:sz w:val="28"/>
                <w:szCs w:val="28"/>
              </w:rPr>
              <w:br/>
              <w:t>(0%)</w:t>
            </w:r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2E9860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sz w:val="28"/>
                <w:szCs w:val="28"/>
              </w:rPr>
              <w:t>1/2</w:t>
            </w:r>
            <w:r w:rsidRPr="00ED6116">
              <w:rPr>
                <w:rFonts w:ascii="宋体" w:eastAsia="宋体" w:hAnsi="宋体"/>
                <w:sz w:val="28"/>
                <w:szCs w:val="28"/>
              </w:rPr>
              <w:br/>
              <w:t>(50%)</w:t>
            </w:r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9873E3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sz w:val="28"/>
                <w:szCs w:val="28"/>
              </w:rPr>
              <w:t>7/10</w:t>
            </w:r>
            <w:r w:rsidRPr="00ED6116">
              <w:rPr>
                <w:rFonts w:ascii="宋体" w:eastAsia="宋体" w:hAnsi="宋体"/>
                <w:sz w:val="28"/>
                <w:szCs w:val="28"/>
              </w:rPr>
              <w:br/>
              <w:t>(70%)</w:t>
            </w:r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A2C393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sz w:val="28"/>
                <w:szCs w:val="28"/>
              </w:rPr>
              <w:t>8/12</w:t>
            </w:r>
            <w:r w:rsidRPr="00ED6116">
              <w:rPr>
                <w:rFonts w:ascii="宋体" w:eastAsia="宋体" w:hAnsi="宋体"/>
                <w:sz w:val="28"/>
                <w:szCs w:val="28"/>
              </w:rPr>
              <w:br/>
              <w:t>(67%)</w:t>
            </w:r>
          </w:p>
        </w:tc>
        <w:tc>
          <w:tcPr>
            <w:tcW w:w="1474" w:type="dxa"/>
            <w:shd w:val="clear" w:color="auto" w:fill="E4DFE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35BED6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b/>
                <w:sz w:val="28"/>
                <w:szCs w:val="28"/>
              </w:rPr>
              <w:t>差异—M/AI新增</w:t>
            </w:r>
          </w:p>
        </w:tc>
        <w:tc>
          <w:tcPr>
            <w:tcW w:w="260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E6E8D1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核心职业守则形成于AI协作普及之前，几乎没有直接规定人机职责划分。</w:t>
            </w:r>
          </w:p>
        </w:tc>
        <w:tc>
          <w:tcPr>
            <w:tcW w:w="27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7E61F0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AI与MT文件强调人在核心、人工监督、最终决策权、验证、接管和不可替代的专业判断。</w:t>
            </w:r>
          </w:p>
        </w:tc>
        <w:tc>
          <w:tcPr>
            <w:tcW w:w="27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7FD6A7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伦理分析单位从单一译员转向人机工作流和分布式多主体系统。</w:t>
            </w:r>
          </w:p>
        </w:tc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5AB3CB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同步口译中的“人在回路”必须具体到监测频率、接管时延、可听见信息和人员负荷。</w:t>
            </w:r>
          </w:p>
        </w:tc>
        <w:tc>
          <w:tcPr>
            <w:tcW w:w="283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B019A3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定义最低人工控制标准、不可自动化任务、接管条件、监督人员资质及不得以名义监督替代真实控制。</w:t>
            </w:r>
          </w:p>
        </w:tc>
      </w:tr>
      <w:tr w:rsidR="00E74E38" w:rsidRPr="00ED6116" w14:paraId="213A00C7" w14:textId="77777777">
        <w:trPr>
          <w:cantSplit/>
          <w:jc w:val="center"/>
        </w:trPr>
        <w:tc>
          <w:tcPr>
            <w:tcW w:w="1247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AC2700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b/>
                <w:color w:val="000000"/>
                <w:sz w:val="28"/>
                <w:szCs w:val="28"/>
              </w:rPr>
              <w:t xml:space="preserve">22. </w:t>
            </w:r>
            <w:proofErr w:type="spellStart"/>
            <w:r w:rsidRPr="00ED6116">
              <w:rPr>
                <w:rFonts w:ascii="宋体" w:eastAsia="宋体" w:hAnsi="宋体"/>
                <w:b/>
                <w:color w:val="000000"/>
                <w:sz w:val="28"/>
                <w:szCs w:val="28"/>
              </w:rPr>
              <w:t>算法公平</w:t>
            </w:r>
            <w:proofErr w:type="spellEnd"/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60E0A5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sz w:val="28"/>
                <w:szCs w:val="28"/>
              </w:rPr>
              <w:t>0/17</w:t>
            </w:r>
            <w:r w:rsidRPr="00ED6116">
              <w:rPr>
                <w:rFonts w:ascii="宋体" w:eastAsia="宋体" w:hAnsi="宋体"/>
                <w:sz w:val="28"/>
                <w:szCs w:val="28"/>
              </w:rPr>
              <w:br/>
              <w:t>(0%)</w:t>
            </w:r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971C3D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sz w:val="28"/>
                <w:szCs w:val="28"/>
              </w:rPr>
              <w:t>1/2</w:t>
            </w:r>
            <w:r w:rsidRPr="00ED6116">
              <w:rPr>
                <w:rFonts w:ascii="宋体" w:eastAsia="宋体" w:hAnsi="宋体"/>
                <w:sz w:val="28"/>
                <w:szCs w:val="28"/>
              </w:rPr>
              <w:br/>
              <w:t>(50%)</w:t>
            </w:r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234B92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sz w:val="28"/>
                <w:szCs w:val="28"/>
              </w:rPr>
              <w:t>5/10</w:t>
            </w:r>
            <w:r w:rsidRPr="00ED6116">
              <w:rPr>
                <w:rFonts w:ascii="宋体" w:eastAsia="宋体" w:hAnsi="宋体"/>
                <w:sz w:val="28"/>
                <w:szCs w:val="28"/>
              </w:rPr>
              <w:br/>
              <w:t>(50%)</w:t>
            </w:r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16D9D0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sz w:val="28"/>
                <w:szCs w:val="28"/>
              </w:rPr>
              <w:t>6/12</w:t>
            </w:r>
            <w:r w:rsidRPr="00ED6116">
              <w:rPr>
                <w:rFonts w:ascii="宋体" w:eastAsia="宋体" w:hAnsi="宋体"/>
                <w:sz w:val="28"/>
                <w:szCs w:val="28"/>
              </w:rPr>
              <w:br/>
              <w:t>(50%)</w:t>
            </w:r>
          </w:p>
        </w:tc>
        <w:tc>
          <w:tcPr>
            <w:tcW w:w="1474" w:type="dxa"/>
            <w:shd w:val="clear" w:color="auto" w:fill="E4DFE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AEB5C3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b/>
                <w:sz w:val="28"/>
                <w:szCs w:val="28"/>
              </w:rPr>
              <w:t>差异—M/AI新增</w:t>
            </w:r>
          </w:p>
        </w:tc>
        <w:tc>
          <w:tcPr>
            <w:tcW w:w="2608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7FD254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传统公平/中立条款处理人的偏见与多方关系，未涉及模型和训练数据的系统性偏差。</w:t>
            </w:r>
          </w:p>
        </w:tc>
        <w:tc>
          <w:tcPr>
            <w:tcW w:w="2721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B4CE37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AI文件要求数据与算法公平、偏见审计、按语言/群体报告性能，并关注低资源语言和弱势用户。</w:t>
            </w:r>
          </w:p>
        </w:tc>
        <w:tc>
          <w:tcPr>
            <w:tcW w:w="2721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57C475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公平由个体态度转为可测量的群体差异、数据代表性与设计选择。</w:t>
            </w:r>
          </w:p>
        </w:tc>
        <w:tc>
          <w:tcPr>
            <w:tcW w:w="26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18AA59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自动口译可能对口音、性别、残障、方言和低资源语言产生不均等错误率。</w:t>
            </w:r>
          </w:p>
        </w:tc>
        <w:tc>
          <w:tcPr>
            <w:tcW w:w="2835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4BFD1B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部署前开展分群体评估，公开差异指标，设置最低公平阈值并提供人工替代与申诉。</w:t>
            </w:r>
          </w:p>
        </w:tc>
      </w:tr>
      <w:tr w:rsidR="00E74E38" w:rsidRPr="00ED6116" w14:paraId="62CA0551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3C9175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b/>
                <w:color w:val="000000"/>
                <w:sz w:val="28"/>
                <w:szCs w:val="28"/>
              </w:rPr>
              <w:t xml:space="preserve">23. </w:t>
            </w:r>
            <w:proofErr w:type="spellStart"/>
            <w:r w:rsidRPr="00ED6116">
              <w:rPr>
                <w:rFonts w:ascii="宋体" w:eastAsia="宋体" w:hAnsi="宋体"/>
                <w:b/>
                <w:color w:val="000000"/>
                <w:sz w:val="28"/>
                <w:szCs w:val="28"/>
              </w:rPr>
              <w:t>可解释性</w:t>
            </w:r>
            <w:proofErr w:type="spellEnd"/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A51411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sz w:val="28"/>
                <w:szCs w:val="28"/>
              </w:rPr>
              <w:t>0/17</w:t>
            </w:r>
            <w:r w:rsidRPr="00ED6116">
              <w:rPr>
                <w:rFonts w:ascii="宋体" w:eastAsia="宋体" w:hAnsi="宋体"/>
                <w:sz w:val="28"/>
                <w:szCs w:val="28"/>
              </w:rPr>
              <w:br/>
              <w:t>(0%)</w:t>
            </w:r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FF8C7E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sz w:val="28"/>
                <w:szCs w:val="28"/>
              </w:rPr>
              <w:t>1/2</w:t>
            </w:r>
            <w:r w:rsidRPr="00ED6116">
              <w:rPr>
                <w:rFonts w:ascii="宋体" w:eastAsia="宋体" w:hAnsi="宋体"/>
                <w:sz w:val="28"/>
                <w:szCs w:val="28"/>
              </w:rPr>
              <w:br/>
              <w:t>(50%)</w:t>
            </w:r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BDA015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sz w:val="28"/>
                <w:szCs w:val="28"/>
              </w:rPr>
              <w:t>0/10</w:t>
            </w:r>
            <w:r w:rsidRPr="00ED6116">
              <w:rPr>
                <w:rFonts w:ascii="宋体" w:eastAsia="宋体" w:hAnsi="宋体"/>
                <w:sz w:val="28"/>
                <w:szCs w:val="28"/>
              </w:rPr>
              <w:br/>
              <w:t>(0%)</w:t>
            </w:r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B30517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sz w:val="28"/>
                <w:szCs w:val="28"/>
              </w:rPr>
              <w:t>1/12</w:t>
            </w:r>
            <w:r w:rsidRPr="00ED6116">
              <w:rPr>
                <w:rFonts w:ascii="宋体" w:eastAsia="宋体" w:hAnsi="宋体"/>
                <w:sz w:val="28"/>
                <w:szCs w:val="28"/>
              </w:rPr>
              <w:br/>
              <w:t>(8%)</w:t>
            </w:r>
          </w:p>
        </w:tc>
        <w:tc>
          <w:tcPr>
            <w:tcW w:w="1474" w:type="dxa"/>
            <w:shd w:val="clear" w:color="auto" w:fill="F4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D73DCA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b/>
                <w:sz w:val="28"/>
                <w:szCs w:val="28"/>
                <w:lang w:eastAsia="zh-CN"/>
              </w:rPr>
              <w:t>缺口—严格M提出、宣言未制度化</w:t>
            </w:r>
          </w:p>
        </w:tc>
        <w:tc>
          <w:tcPr>
            <w:tcW w:w="260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6A4093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职业语料没有系统逻辑可理解性的技术对象。</w:t>
            </w:r>
          </w:p>
        </w:tc>
        <w:tc>
          <w:tcPr>
            <w:tcW w:w="27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3C5192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仅外部机器翻译伦理要求算法逻辑清晰、可审计；其他AI文件多使用“透明”而未细分解释。</w:t>
            </w:r>
          </w:p>
        </w:tc>
        <w:tc>
          <w:tcPr>
            <w:tcW w:w="27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1225C8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可解释性尚未在翻译/口译伦理中制度化，透明度可能承担了过多不同功能。</w:t>
            </w:r>
          </w:p>
        </w:tc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403808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终端用户未必需要模型技术细节，但专业审核者需要错误原因、置信信息和版本变更可追溯。</w:t>
            </w:r>
          </w:p>
        </w:tc>
        <w:tc>
          <w:tcPr>
            <w:tcW w:w="283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B26498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区分用户可理解说明与专业技术解释，规定审核接口、决策依据、已知失效模式和审计证据。</w:t>
            </w:r>
          </w:p>
        </w:tc>
      </w:tr>
      <w:tr w:rsidR="00E74E38" w:rsidRPr="00ED6116" w14:paraId="3134A66D" w14:textId="77777777">
        <w:trPr>
          <w:cantSplit/>
          <w:jc w:val="center"/>
        </w:trPr>
        <w:tc>
          <w:tcPr>
            <w:tcW w:w="1247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3AD60E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b/>
                <w:color w:val="000000"/>
                <w:sz w:val="28"/>
                <w:szCs w:val="28"/>
              </w:rPr>
              <w:t xml:space="preserve">24. </w:t>
            </w:r>
            <w:proofErr w:type="spellStart"/>
            <w:r w:rsidRPr="00ED6116">
              <w:rPr>
                <w:rFonts w:ascii="宋体" w:eastAsia="宋体" w:hAnsi="宋体"/>
                <w:b/>
                <w:color w:val="000000"/>
                <w:sz w:val="28"/>
                <w:szCs w:val="28"/>
              </w:rPr>
              <w:t>知情同意</w:t>
            </w:r>
            <w:proofErr w:type="spellEnd"/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32CAED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sz w:val="28"/>
                <w:szCs w:val="28"/>
              </w:rPr>
              <w:t>1/17</w:t>
            </w:r>
            <w:r w:rsidRPr="00ED6116">
              <w:rPr>
                <w:rFonts w:ascii="宋体" w:eastAsia="宋体" w:hAnsi="宋体"/>
                <w:sz w:val="28"/>
                <w:szCs w:val="28"/>
              </w:rPr>
              <w:br/>
              <w:t>(6%)</w:t>
            </w:r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9FB8E6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sz w:val="28"/>
                <w:szCs w:val="28"/>
              </w:rPr>
              <w:t>1/2</w:t>
            </w:r>
            <w:r w:rsidRPr="00ED6116">
              <w:rPr>
                <w:rFonts w:ascii="宋体" w:eastAsia="宋体" w:hAnsi="宋体"/>
                <w:sz w:val="28"/>
                <w:szCs w:val="28"/>
              </w:rPr>
              <w:br/>
              <w:t>(50%)</w:t>
            </w:r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84F804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sz w:val="28"/>
                <w:szCs w:val="28"/>
              </w:rPr>
              <w:t>5/10</w:t>
            </w:r>
            <w:r w:rsidRPr="00ED6116">
              <w:rPr>
                <w:rFonts w:ascii="宋体" w:eastAsia="宋体" w:hAnsi="宋体"/>
                <w:sz w:val="28"/>
                <w:szCs w:val="28"/>
              </w:rPr>
              <w:br/>
              <w:t>(50%)</w:t>
            </w:r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2B8E96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sz w:val="28"/>
                <w:szCs w:val="28"/>
              </w:rPr>
              <w:t>6/12</w:t>
            </w:r>
            <w:r w:rsidRPr="00ED6116">
              <w:rPr>
                <w:rFonts w:ascii="宋体" w:eastAsia="宋体" w:hAnsi="宋体"/>
                <w:sz w:val="28"/>
                <w:szCs w:val="28"/>
              </w:rPr>
              <w:br/>
              <w:t>(50%)</w:t>
            </w:r>
          </w:p>
        </w:tc>
        <w:tc>
          <w:tcPr>
            <w:tcW w:w="1474" w:type="dxa"/>
            <w:shd w:val="clear" w:color="auto" w:fill="E4DFE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0A083B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b/>
                <w:sz w:val="28"/>
                <w:szCs w:val="28"/>
              </w:rPr>
              <w:t>差异—M/AI新增</w:t>
            </w:r>
          </w:p>
        </w:tc>
        <w:tc>
          <w:tcPr>
            <w:tcW w:w="2608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EA7CF3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职业语料仅在摘要传译等非常规模式中明确要求知情同意。</w:t>
            </w:r>
          </w:p>
        </w:tc>
        <w:tc>
          <w:tcPr>
            <w:tcW w:w="2721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C854FE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AI口译与桥接文件要求用户接受/拒绝AI、选择加入/退出数据收集并获得人工服务替代。</w:t>
            </w:r>
          </w:p>
        </w:tc>
        <w:tc>
          <w:tcPr>
            <w:tcW w:w="2721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714F2A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同意对象从特殊口译方式扩展为技术参与、数据处理、风险承担和服务模式选择。</w:t>
            </w:r>
          </w:p>
        </w:tc>
        <w:tc>
          <w:tcPr>
            <w:tcW w:w="26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F6F59F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在权力不对称的医疗、司法和移民场景，同意必须真实可拒绝，不能以没有替代服务为前提。</w:t>
            </w:r>
          </w:p>
        </w:tc>
        <w:tc>
          <w:tcPr>
            <w:tcW w:w="2835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3995CC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建立分层同意：AI使用、录音/数据、自动决策、人工替代；重大变化需重新征得同意。</w:t>
            </w:r>
          </w:p>
        </w:tc>
      </w:tr>
      <w:tr w:rsidR="00E74E38" w:rsidRPr="00ED6116" w14:paraId="4A9E9E6F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E16C0E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b/>
                <w:color w:val="000000"/>
                <w:sz w:val="28"/>
                <w:szCs w:val="28"/>
              </w:rPr>
              <w:t xml:space="preserve">25. </w:t>
            </w:r>
            <w:proofErr w:type="spellStart"/>
            <w:r w:rsidRPr="00ED6116">
              <w:rPr>
                <w:rFonts w:ascii="宋体" w:eastAsia="宋体" w:hAnsi="宋体"/>
                <w:b/>
                <w:color w:val="000000"/>
                <w:sz w:val="28"/>
                <w:szCs w:val="28"/>
              </w:rPr>
              <w:t>译者著作权利</w:t>
            </w:r>
            <w:proofErr w:type="spellEnd"/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FB215D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sz w:val="28"/>
                <w:szCs w:val="28"/>
              </w:rPr>
              <w:t>2/17</w:t>
            </w:r>
            <w:r w:rsidRPr="00ED6116">
              <w:rPr>
                <w:rFonts w:ascii="宋体" w:eastAsia="宋体" w:hAnsi="宋体"/>
                <w:sz w:val="28"/>
                <w:szCs w:val="28"/>
              </w:rPr>
              <w:br/>
              <w:t>(12%)</w:t>
            </w:r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3BC32E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sz w:val="28"/>
                <w:szCs w:val="28"/>
              </w:rPr>
              <w:t>0/2</w:t>
            </w:r>
            <w:r w:rsidRPr="00ED6116">
              <w:rPr>
                <w:rFonts w:ascii="宋体" w:eastAsia="宋体" w:hAnsi="宋体"/>
                <w:sz w:val="28"/>
                <w:szCs w:val="28"/>
              </w:rPr>
              <w:br/>
              <w:t>(0%)</w:t>
            </w:r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BB7FBF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sz w:val="28"/>
                <w:szCs w:val="28"/>
              </w:rPr>
              <w:t>3/10</w:t>
            </w:r>
            <w:r w:rsidRPr="00ED6116">
              <w:rPr>
                <w:rFonts w:ascii="宋体" w:eastAsia="宋体" w:hAnsi="宋体"/>
                <w:sz w:val="28"/>
                <w:szCs w:val="28"/>
              </w:rPr>
              <w:br/>
              <w:t>(30%)</w:t>
            </w:r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209988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sz w:val="28"/>
                <w:szCs w:val="28"/>
              </w:rPr>
              <w:t>3/12</w:t>
            </w:r>
            <w:r w:rsidRPr="00ED6116">
              <w:rPr>
                <w:rFonts w:ascii="宋体" w:eastAsia="宋体" w:hAnsi="宋体"/>
                <w:sz w:val="28"/>
                <w:szCs w:val="28"/>
              </w:rPr>
              <w:br/>
              <w:t>(25%)</w:t>
            </w:r>
          </w:p>
        </w:tc>
        <w:tc>
          <w:tcPr>
            <w:tcW w:w="1474" w:type="dxa"/>
            <w:shd w:val="clear" w:color="auto" w:fill="E4DFE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AEB366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b/>
                <w:sz w:val="28"/>
                <w:szCs w:val="28"/>
                <w:lang w:eastAsia="zh-CN"/>
              </w:rPr>
              <w:t>差异—AI创作者权利扩展</w:t>
            </w:r>
          </w:p>
        </w:tc>
        <w:tc>
          <w:tcPr>
            <w:tcW w:w="260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25245A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核心口译职业语料几乎不单列译者作者权，传统笔译宪章则有成熟权利体系。</w:t>
            </w:r>
          </w:p>
        </w:tc>
        <w:tc>
          <w:tcPr>
            <w:tcW w:w="27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F0516F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AI文件关注作品被用于训练时的授权、署名、报酬及透明度。</w:t>
            </w:r>
          </w:p>
        </w:tc>
        <w:tc>
          <w:tcPr>
            <w:tcW w:w="27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70E6C5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作者权议题从译作出版扩展到数据化采集和模型训练；口译中对应的权利尚未充分命名。</w:t>
            </w:r>
          </w:p>
        </w:tc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51C612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需要讨论口译录音、转写、语音克隆、术语成果和示范语料是否可被训练或商业化。</w:t>
            </w:r>
          </w:p>
        </w:tc>
        <w:tc>
          <w:tcPr>
            <w:tcW w:w="283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28645B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将译者权利扩展为语言专业人员的数据与人格权：选择加入、用途限制、署名、补偿和撤回。</w:t>
            </w:r>
          </w:p>
        </w:tc>
      </w:tr>
      <w:tr w:rsidR="00E74E38" w:rsidRPr="00ED6116" w14:paraId="054F73E7" w14:textId="77777777">
        <w:trPr>
          <w:cantSplit/>
          <w:jc w:val="center"/>
        </w:trPr>
        <w:tc>
          <w:tcPr>
            <w:tcW w:w="1247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30E054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b/>
                <w:color w:val="000000"/>
                <w:sz w:val="28"/>
                <w:szCs w:val="28"/>
              </w:rPr>
              <w:t xml:space="preserve">26. </w:t>
            </w:r>
            <w:proofErr w:type="spellStart"/>
            <w:r w:rsidRPr="00ED6116">
              <w:rPr>
                <w:rFonts w:ascii="宋体" w:eastAsia="宋体" w:hAnsi="宋体"/>
                <w:b/>
                <w:color w:val="000000"/>
                <w:sz w:val="28"/>
                <w:szCs w:val="28"/>
              </w:rPr>
              <w:t>尊重当事人</w:t>
            </w:r>
            <w:proofErr w:type="spellEnd"/>
            <w:r w:rsidRPr="00ED6116">
              <w:rPr>
                <w:rFonts w:ascii="宋体" w:eastAsia="宋体" w:hAnsi="宋体"/>
                <w:b/>
                <w:color w:val="000000"/>
                <w:sz w:val="28"/>
                <w:szCs w:val="28"/>
              </w:rPr>
              <w:t>/</w:t>
            </w:r>
            <w:proofErr w:type="spellStart"/>
            <w:r w:rsidRPr="00ED6116">
              <w:rPr>
                <w:rFonts w:ascii="宋体" w:eastAsia="宋体" w:hAnsi="宋体"/>
                <w:b/>
                <w:color w:val="000000"/>
                <w:sz w:val="28"/>
                <w:szCs w:val="28"/>
              </w:rPr>
              <w:t>自主权</w:t>
            </w:r>
            <w:proofErr w:type="spellEnd"/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1ACA22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sz w:val="28"/>
                <w:szCs w:val="28"/>
              </w:rPr>
              <w:t>3/17</w:t>
            </w:r>
            <w:r w:rsidRPr="00ED6116">
              <w:rPr>
                <w:rFonts w:ascii="宋体" w:eastAsia="宋体" w:hAnsi="宋体"/>
                <w:sz w:val="28"/>
                <w:szCs w:val="28"/>
              </w:rPr>
              <w:br/>
              <w:t>(18%)</w:t>
            </w:r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C96F76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sz w:val="28"/>
                <w:szCs w:val="28"/>
              </w:rPr>
              <w:t>0/2</w:t>
            </w:r>
            <w:r w:rsidRPr="00ED6116">
              <w:rPr>
                <w:rFonts w:ascii="宋体" w:eastAsia="宋体" w:hAnsi="宋体"/>
                <w:sz w:val="28"/>
                <w:szCs w:val="28"/>
              </w:rPr>
              <w:br/>
              <w:t>(0%)</w:t>
            </w:r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C5FE66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sz w:val="28"/>
                <w:szCs w:val="28"/>
              </w:rPr>
              <w:t>1/10</w:t>
            </w:r>
            <w:r w:rsidRPr="00ED6116">
              <w:rPr>
                <w:rFonts w:ascii="宋体" w:eastAsia="宋体" w:hAnsi="宋体"/>
                <w:sz w:val="28"/>
                <w:szCs w:val="28"/>
              </w:rPr>
              <w:br/>
              <w:t>(10%)</w:t>
            </w:r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BD648C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sz w:val="28"/>
                <w:szCs w:val="28"/>
              </w:rPr>
              <w:t>1/12</w:t>
            </w:r>
            <w:r w:rsidRPr="00ED6116">
              <w:rPr>
                <w:rFonts w:ascii="宋体" w:eastAsia="宋体" w:hAnsi="宋体"/>
                <w:sz w:val="28"/>
                <w:szCs w:val="28"/>
              </w:rPr>
              <w:br/>
              <w:t>(8%)</w:t>
            </w:r>
          </w:p>
        </w:tc>
        <w:tc>
          <w:tcPr>
            <w:tcW w:w="1474" w:type="dxa"/>
            <w:shd w:val="clear" w:color="auto" w:fill="F4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C7325E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b/>
                <w:sz w:val="28"/>
                <w:szCs w:val="28"/>
                <w:lang w:eastAsia="zh-CN"/>
              </w:rPr>
              <w:t>缺口—自主权低显性化</w:t>
            </w:r>
          </w:p>
        </w:tc>
        <w:tc>
          <w:tcPr>
            <w:tcW w:w="2608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E3FC04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少数医疗、教育和社区口译守则明确促进当事人自主和实际选择，其他文件常被中立或角色界限吸收。</w:t>
            </w:r>
          </w:p>
        </w:tc>
        <w:tc>
          <w:tcPr>
            <w:tcW w:w="2721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480450" w14:textId="4E498A46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AI文件通过用户选择触及自主，但未在所有治理材料中稳定出现。</w:t>
            </w:r>
          </w:p>
        </w:tc>
        <w:tc>
          <w:tcPr>
            <w:tcW w:w="2721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DA6042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自主既是关系伦理价值，也是知情同意、可及性、数据控制和人工替代的正当化基础。</w:t>
            </w:r>
          </w:p>
        </w:tc>
        <w:tc>
          <w:tcPr>
            <w:tcW w:w="26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AB8CBC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语言服务对象常无法独立判断输出质量，自主不能仅靠“提供选择”，还需要可理解信息和有效替代。</w:t>
            </w:r>
          </w:p>
        </w:tc>
        <w:tc>
          <w:tcPr>
            <w:tcW w:w="2835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42CA16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把当事人自主确立为上位原则，并通过同意、可争议性、人工替代和救济机制具体化。</w:t>
            </w:r>
          </w:p>
        </w:tc>
      </w:tr>
      <w:tr w:rsidR="00E74E38" w:rsidRPr="00ED6116" w14:paraId="22ED566A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1E2A73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b/>
                <w:color w:val="000000"/>
                <w:sz w:val="28"/>
                <w:szCs w:val="28"/>
                <w:lang w:eastAsia="zh-CN"/>
              </w:rPr>
              <w:lastRenderedPageBreak/>
              <w:t>27. 语言可及性/无障碍保障</w:t>
            </w:r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4F6D33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sz w:val="28"/>
                <w:szCs w:val="28"/>
              </w:rPr>
              <w:t>2/17</w:t>
            </w:r>
            <w:r w:rsidRPr="00ED6116">
              <w:rPr>
                <w:rFonts w:ascii="宋体" w:eastAsia="宋体" w:hAnsi="宋体"/>
                <w:sz w:val="28"/>
                <w:szCs w:val="28"/>
              </w:rPr>
              <w:br/>
              <w:t>(12%)</w:t>
            </w:r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1CF4D4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sz w:val="28"/>
                <w:szCs w:val="28"/>
              </w:rPr>
              <w:t>0/2</w:t>
            </w:r>
            <w:r w:rsidRPr="00ED6116">
              <w:rPr>
                <w:rFonts w:ascii="宋体" w:eastAsia="宋体" w:hAnsi="宋体"/>
                <w:sz w:val="28"/>
                <w:szCs w:val="28"/>
              </w:rPr>
              <w:br/>
              <w:t>(0%)</w:t>
            </w:r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E91E70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sz w:val="28"/>
                <w:szCs w:val="28"/>
              </w:rPr>
              <w:t>3/10</w:t>
            </w:r>
            <w:r w:rsidRPr="00ED6116">
              <w:rPr>
                <w:rFonts w:ascii="宋体" w:eastAsia="宋体" w:hAnsi="宋体"/>
                <w:sz w:val="28"/>
                <w:szCs w:val="28"/>
              </w:rPr>
              <w:br/>
              <w:t>(30%)</w:t>
            </w:r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419C15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sz w:val="28"/>
                <w:szCs w:val="28"/>
              </w:rPr>
              <w:t>3/12</w:t>
            </w:r>
            <w:r w:rsidRPr="00ED6116">
              <w:rPr>
                <w:rFonts w:ascii="宋体" w:eastAsia="宋体" w:hAnsi="宋体"/>
                <w:sz w:val="28"/>
                <w:szCs w:val="28"/>
              </w:rPr>
              <w:br/>
              <w:t>(25%)</w:t>
            </w:r>
          </w:p>
        </w:tc>
        <w:tc>
          <w:tcPr>
            <w:tcW w:w="1474" w:type="dxa"/>
            <w:shd w:val="clear" w:color="auto" w:fill="E4DFE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0DB2F6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b/>
                <w:sz w:val="28"/>
                <w:szCs w:val="28"/>
                <w:lang w:eastAsia="zh-CN"/>
              </w:rPr>
              <w:t>差异—AI可及性扩展</w:t>
            </w:r>
          </w:p>
        </w:tc>
        <w:tc>
          <w:tcPr>
            <w:tcW w:w="260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975F55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教育和手语口译强调消除沟通障碍、支持课堂内外交流和适配非标准沟通方式。</w:t>
            </w:r>
          </w:p>
        </w:tc>
        <w:tc>
          <w:tcPr>
            <w:tcW w:w="27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312329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AI文件关注低资源语言、残障用户、语言鸿沟和按语言报告性能，要求人工服务兜底。</w:t>
            </w:r>
          </w:p>
        </w:tc>
        <w:tc>
          <w:tcPr>
            <w:tcW w:w="27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1EA938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可及性从提供口译服务扩展为技术设计、语言覆盖、性能平等和退出后的服务连续性。</w:t>
            </w:r>
          </w:p>
        </w:tc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4EB491" w14:textId="0EE69E1C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可及性是</w:t>
            </w:r>
            <w:r w:rsidR="00ED6116">
              <w:rPr>
                <w:rFonts w:ascii="宋体" w:eastAsia="宋体" w:hAnsi="宋体" w:hint="eastAsia"/>
                <w:color w:val="000000"/>
                <w:sz w:val="28"/>
                <w:szCs w:val="28"/>
                <w:lang w:eastAsia="zh-CN"/>
              </w:rPr>
              <w:t>公共服务</w:t>
            </w: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口译的</w:t>
            </w:r>
            <w:r w:rsidR="00ED6116">
              <w:rPr>
                <w:rFonts w:ascii="宋体" w:eastAsia="宋体" w:hAnsi="宋体" w:hint="eastAsia"/>
                <w:color w:val="000000"/>
                <w:sz w:val="28"/>
                <w:szCs w:val="28"/>
                <w:lang w:eastAsia="zh-CN"/>
              </w:rPr>
              <w:t>长期</w:t>
            </w: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存在理由之一，不能因部署AI反而把弱势用户置于质量更低的服务层级。</w:t>
            </w:r>
          </w:p>
        </w:tc>
        <w:tc>
          <w:tcPr>
            <w:tcW w:w="283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71F5BF" w14:textId="2E7EA6AD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规定等效服务标准、低资源语言评估、残障可用性、人工替代和不得</w:t>
            </w:r>
            <w:r w:rsidRPr="00ED6116">
              <w:rPr>
                <w:rFonts w:ascii="宋体" w:eastAsia="宋体" w:hAnsi="宋体" w:hint="eastAsia"/>
                <w:color w:val="000000"/>
                <w:sz w:val="28"/>
                <w:szCs w:val="28"/>
                <w:lang w:eastAsia="zh-CN"/>
              </w:rPr>
              <w:t>因</w:t>
            </w:r>
            <w:r w:rsidR="00ED6116">
              <w:rPr>
                <w:rFonts w:ascii="宋体" w:eastAsia="宋体" w:hAnsi="宋体" w:hint="eastAsia"/>
                <w:color w:val="000000"/>
                <w:sz w:val="28"/>
                <w:szCs w:val="28"/>
                <w:lang w:eastAsia="zh-CN"/>
              </w:rPr>
              <w:t>参与方</w:t>
            </w: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拒绝AI</w:t>
            </w:r>
            <w:r w:rsidR="00ED6116">
              <w:rPr>
                <w:rFonts w:ascii="宋体" w:eastAsia="宋体" w:hAnsi="宋体" w:hint="eastAsia"/>
                <w:color w:val="000000"/>
                <w:sz w:val="28"/>
                <w:szCs w:val="28"/>
                <w:lang w:eastAsia="zh-CN"/>
              </w:rPr>
              <w:t>而</w:t>
            </w: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降低服务。</w:t>
            </w:r>
          </w:p>
        </w:tc>
      </w:tr>
      <w:tr w:rsidR="00E74E38" w:rsidRPr="00ED6116" w14:paraId="7752D258" w14:textId="77777777">
        <w:trPr>
          <w:cantSplit/>
          <w:jc w:val="center"/>
        </w:trPr>
        <w:tc>
          <w:tcPr>
            <w:tcW w:w="1247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18D290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b/>
                <w:color w:val="000000"/>
                <w:sz w:val="28"/>
                <w:szCs w:val="28"/>
              </w:rPr>
              <w:t xml:space="preserve">28. </w:t>
            </w:r>
            <w:proofErr w:type="spellStart"/>
            <w:r w:rsidRPr="00ED6116">
              <w:rPr>
                <w:rFonts w:ascii="宋体" w:eastAsia="宋体" w:hAnsi="宋体"/>
                <w:b/>
                <w:color w:val="000000"/>
                <w:sz w:val="28"/>
                <w:szCs w:val="28"/>
              </w:rPr>
              <w:t>跨专业协作</w:t>
            </w:r>
            <w:proofErr w:type="spellEnd"/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529EAE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sz w:val="28"/>
                <w:szCs w:val="28"/>
              </w:rPr>
              <w:t>1/17</w:t>
            </w:r>
            <w:r w:rsidRPr="00ED6116">
              <w:rPr>
                <w:rFonts w:ascii="宋体" w:eastAsia="宋体" w:hAnsi="宋体"/>
                <w:sz w:val="28"/>
                <w:szCs w:val="28"/>
              </w:rPr>
              <w:br/>
              <w:t>(6%)</w:t>
            </w:r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9E2DCF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sz w:val="28"/>
                <w:szCs w:val="28"/>
              </w:rPr>
              <w:t>0/2</w:t>
            </w:r>
            <w:r w:rsidRPr="00ED6116">
              <w:rPr>
                <w:rFonts w:ascii="宋体" w:eastAsia="宋体" w:hAnsi="宋体"/>
                <w:sz w:val="28"/>
                <w:szCs w:val="28"/>
              </w:rPr>
              <w:br/>
              <w:t>(0%)</w:t>
            </w:r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504BAC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sz w:val="28"/>
                <w:szCs w:val="28"/>
              </w:rPr>
              <w:t>4/10</w:t>
            </w:r>
            <w:r w:rsidRPr="00ED6116">
              <w:rPr>
                <w:rFonts w:ascii="宋体" w:eastAsia="宋体" w:hAnsi="宋体"/>
                <w:sz w:val="28"/>
                <w:szCs w:val="28"/>
              </w:rPr>
              <w:br/>
              <w:t>(40%)</w:t>
            </w:r>
          </w:p>
        </w:tc>
        <w:tc>
          <w:tcPr>
            <w:tcW w:w="822" w:type="dxa"/>
            <w:shd w:val="clear" w:color="auto" w:fill="F8FAF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73D2E3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sz w:val="28"/>
                <w:szCs w:val="28"/>
              </w:rPr>
              <w:t>4/12</w:t>
            </w:r>
            <w:r w:rsidRPr="00ED6116">
              <w:rPr>
                <w:rFonts w:ascii="宋体" w:eastAsia="宋体" w:hAnsi="宋体"/>
                <w:sz w:val="28"/>
                <w:szCs w:val="28"/>
              </w:rPr>
              <w:br/>
              <w:t>(33%)</w:t>
            </w:r>
          </w:p>
        </w:tc>
        <w:tc>
          <w:tcPr>
            <w:tcW w:w="1474" w:type="dxa"/>
            <w:shd w:val="clear" w:color="auto" w:fill="E4DFE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6E1A4A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b/>
                <w:sz w:val="28"/>
                <w:szCs w:val="28"/>
                <w:lang w:eastAsia="zh-CN"/>
              </w:rPr>
              <w:t>差异—AI桥接、H类不足</w:t>
            </w:r>
          </w:p>
        </w:tc>
        <w:tc>
          <w:tcPr>
            <w:tcW w:w="2608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F38232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仅教育等垂直场景系统规定译员与教师、医护或团队协作。</w:t>
            </w:r>
          </w:p>
        </w:tc>
        <w:tc>
          <w:tcPr>
            <w:tcW w:w="2721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D66EA3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少数文件呼吁语言学家与开发者、政策制定者和社群共同塑造技术；整体覆盖仍低。</w:t>
            </w:r>
          </w:p>
        </w:tc>
        <w:tc>
          <w:tcPr>
            <w:tcW w:w="2721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5F3F14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AI治理需要跨越语言、工程、法律、采购、数据保护和场景专业，但规范文件仍呈部门分割。</w:t>
            </w:r>
          </w:p>
        </w:tc>
        <w:tc>
          <w:tcPr>
            <w:tcW w:w="2664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03B045" w14:textId="69647011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高风险口译的系统评估不可能由单一主体完成，必须引入场景专家和受影响社群</w:t>
            </w:r>
            <w:r w:rsidR="00ED6116">
              <w:rPr>
                <w:rFonts w:ascii="宋体" w:eastAsia="宋体" w:hAnsi="宋体" w:hint="eastAsia"/>
                <w:color w:val="000000"/>
                <w:sz w:val="28"/>
                <w:szCs w:val="28"/>
                <w:lang w:eastAsia="zh-CN"/>
              </w:rPr>
              <w:t>协作</w:t>
            </w: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。</w:t>
            </w:r>
          </w:p>
        </w:tc>
        <w:tc>
          <w:tcPr>
            <w:tcW w:w="2835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8DFDEB" w14:textId="58555A3B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建立跨专业治理团队，规定语言专家、技术人员、法律/隐私人员和用户代表的</w:t>
            </w:r>
            <w:r w:rsidR="00ED6116">
              <w:rPr>
                <w:rFonts w:ascii="宋体" w:eastAsia="宋体" w:hAnsi="宋体" w:hint="eastAsia"/>
                <w:color w:val="000000"/>
                <w:sz w:val="28"/>
                <w:szCs w:val="28"/>
                <w:lang w:eastAsia="zh-CN"/>
              </w:rPr>
              <w:t>最低</w:t>
            </w: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参与</w:t>
            </w:r>
            <w:r w:rsidR="00ED6116">
              <w:rPr>
                <w:rFonts w:ascii="宋体" w:eastAsia="宋体" w:hAnsi="宋体" w:hint="eastAsia"/>
                <w:color w:val="000000"/>
                <w:sz w:val="28"/>
                <w:szCs w:val="28"/>
                <w:lang w:eastAsia="zh-CN"/>
              </w:rPr>
              <w:t>程度</w:t>
            </w: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。</w:t>
            </w:r>
          </w:p>
        </w:tc>
      </w:tr>
      <w:tr w:rsidR="00E74E38" w:rsidRPr="00ED6116" w14:paraId="603ED7C6" w14:textId="77777777">
        <w:trPr>
          <w:cantSplit/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5C8017" w14:textId="753BC890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b/>
                <w:color w:val="000000"/>
                <w:sz w:val="28"/>
                <w:szCs w:val="28"/>
              </w:rPr>
              <w:t xml:space="preserve">29. </w:t>
            </w:r>
            <w:proofErr w:type="spellStart"/>
            <w:r w:rsidRPr="00ED6116">
              <w:rPr>
                <w:rFonts w:ascii="宋体" w:eastAsia="宋体" w:hAnsi="宋体"/>
                <w:b/>
                <w:color w:val="000000"/>
                <w:sz w:val="28"/>
                <w:szCs w:val="28"/>
              </w:rPr>
              <w:t>问责制</w:t>
            </w:r>
            <w:proofErr w:type="spellEnd"/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AAD170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sz w:val="28"/>
                <w:szCs w:val="28"/>
              </w:rPr>
              <w:t>3/17</w:t>
            </w:r>
            <w:r w:rsidRPr="00ED6116">
              <w:rPr>
                <w:rFonts w:ascii="宋体" w:eastAsia="宋体" w:hAnsi="宋体"/>
                <w:sz w:val="28"/>
                <w:szCs w:val="28"/>
              </w:rPr>
              <w:br/>
              <w:t>(18%)</w:t>
            </w:r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31A2C8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sz w:val="28"/>
                <w:szCs w:val="28"/>
              </w:rPr>
              <w:t>1/2</w:t>
            </w:r>
            <w:r w:rsidRPr="00ED6116">
              <w:rPr>
                <w:rFonts w:ascii="宋体" w:eastAsia="宋体" w:hAnsi="宋体"/>
                <w:sz w:val="28"/>
                <w:szCs w:val="28"/>
              </w:rPr>
              <w:br/>
              <w:t>(50%)</w:t>
            </w:r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3EBE7B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sz w:val="28"/>
                <w:szCs w:val="28"/>
              </w:rPr>
              <w:t>3/10</w:t>
            </w:r>
            <w:r w:rsidRPr="00ED6116">
              <w:rPr>
                <w:rFonts w:ascii="宋体" w:eastAsia="宋体" w:hAnsi="宋体"/>
                <w:sz w:val="28"/>
                <w:szCs w:val="28"/>
              </w:rPr>
              <w:br/>
              <w:t>(30%)</w:t>
            </w:r>
          </w:p>
        </w:tc>
        <w:tc>
          <w:tcPr>
            <w:tcW w:w="82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1E36C6" w14:textId="77777777" w:rsidR="00E74E38" w:rsidRPr="00ED6116" w:rsidRDefault="00000000">
            <w:pPr>
              <w:spacing w:after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ED6116">
              <w:rPr>
                <w:rFonts w:ascii="宋体" w:eastAsia="宋体" w:hAnsi="宋体"/>
                <w:sz w:val="28"/>
                <w:szCs w:val="28"/>
              </w:rPr>
              <w:t>4/12</w:t>
            </w:r>
            <w:r w:rsidRPr="00ED6116">
              <w:rPr>
                <w:rFonts w:ascii="宋体" w:eastAsia="宋体" w:hAnsi="宋体"/>
                <w:sz w:val="28"/>
                <w:szCs w:val="28"/>
              </w:rPr>
              <w:br/>
              <w:t>(33%)</w:t>
            </w:r>
          </w:p>
        </w:tc>
        <w:tc>
          <w:tcPr>
            <w:tcW w:w="1474" w:type="dxa"/>
            <w:shd w:val="clear" w:color="auto" w:fill="E4DFE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280558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b/>
                <w:sz w:val="28"/>
                <w:szCs w:val="28"/>
                <w:lang w:eastAsia="zh-CN"/>
              </w:rPr>
              <w:t>差异—M/AI问责扩展</w:t>
            </w:r>
          </w:p>
        </w:tc>
        <w:tc>
          <w:tcPr>
            <w:tcW w:w="260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6202C0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职业守则中问责多为个人对工作、协会或分包结果负责，覆盖有限且责任链较短。</w:t>
            </w:r>
          </w:p>
        </w:tc>
        <w:tc>
          <w:tcPr>
            <w:tcW w:w="27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1023F0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两份直接AI口译文件均强调机器不能承担责任，要求开发者、供应商、采购方和部署机构建立清晰责任链。</w:t>
            </w:r>
          </w:p>
        </w:tc>
        <w:tc>
          <w:tcPr>
            <w:tcW w:w="272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3FA420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责任由单一专业人员转为分布式责任；技术设备不是道德或法律责任终点。</w:t>
            </w:r>
          </w:p>
        </w:tc>
        <w:tc>
          <w:tcPr>
            <w:tcW w:w="26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8835B8" w14:textId="77777777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实时损害可能来自模型、音频环境、配置、采购决策和监督不足，必须预先分配责任并保留证据。</w:t>
            </w:r>
          </w:p>
        </w:tc>
        <w:tc>
          <w:tcPr>
            <w:tcW w:w="283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81A25F" w14:textId="5D73709C" w:rsidR="00E74E38" w:rsidRPr="00ED6116" w:rsidRDefault="00000000">
            <w:pPr>
              <w:spacing w:after="0"/>
              <w:rPr>
                <w:rFonts w:ascii="宋体" w:eastAsia="宋体" w:hAnsi="宋体"/>
                <w:sz w:val="28"/>
                <w:szCs w:val="28"/>
                <w:lang w:eastAsia="zh-CN"/>
              </w:rPr>
            </w:pPr>
            <w:r w:rsidRPr="00ED6116">
              <w:rPr>
                <w:rFonts w:ascii="宋体" w:eastAsia="宋体" w:hAnsi="宋体"/>
                <w:color w:val="000000"/>
                <w:sz w:val="28"/>
                <w:szCs w:val="28"/>
                <w:lang w:eastAsia="zh-CN"/>
              </w:rPr>
              <w:t>确立“责任不可自动化”原则：列明生命周期责任人、日志与审计、申诉救济、保险赔偿和监管报告。</w:t>
            </w:r>
          </w:p>
        </w:tc>
      </w:tr>
    </w:tbl>
    <w:p w14:paraId="65E8A8C9" w14:textId="7FFEADDE" w:rsidR="00E74E38" w:rsidRPr="00ED6116" w:rsidRDefault="00000000">
      <w:pPr>
        <w:pStyle w:val="1"/>
        <w:rPr>
          <w:rFonts w:ascii="宋体" w:eastAsia="宋体" w:hAnsi="宋体"/>
          <w:sz w:val="28"/>
          <w:lang w:eastAsia="zh-CN"/>
        </w:rPr>
      </w:pPr>
      <w:r w:rsidRPr="00ED6116">
        <w:rPr>
          <w:rFonts w:ascii="宋体" w:eastAsia="宋体" w:hAnsi="宋体"/>
          <w:sz w:val="28"/>
          <w:lang w:eastAsia="zh-CN"/>
        </w:rPr>
        <w:t>三、由矩阵可优先</w:t>
      </w:r>
      <w:r w:rsidR="00ED6116">
        <w:rPr>
          <w:rFonts w:ascii="宋体" w:eastAsia="宋体" w:hAnsi="宋体" w:hint="eastAsia"/>
          <w:sz w:val="28"/>
          <w:lang w:eastAsia="zh-CN"/>
        </w:rPr>
        <w:t>发</w:t>
      </w:r>
      <w:r w:rsidRPr="00ED6116">
        <w:rPr>
          <w:rFonts w:ascii="宋体" w:eastAsia="宋体" w:hAnsi="宋体"/>
          <w:sz w:val="28"/>
          <w:lang w:eastAsia="zh-CN"/>
        </w:rPr>
        <w:t>展的五条讨论主线</w:t>
      </w:r>
    </w:p>
    <w:p w14:paraId="29A00967" w14:textId="5992C516" w:rsidR="00E74E38" w:rsidRPr="00ED6116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ED6116">
        <w:rPr>
          <w:rFonts w:ascii="宋体" w:eastAsia="宋体" w:hAnsi="宋体"/>
          <w:sz w:val="28"/>
          <w:szCs w:val="28"/>
          <w:lang w:eastAsia="zh-CN"/>
        </w:rPr>
        <w:t>1. 共享基础并非完全对称：胜任、准确和质量在人类职业规范、正式技术标准与AI宣言中均出现，但人的义务、</w:t>
      </w:r>
      <w:r w:rsidR="00E07978">
        <w:rPr>
          <w:rFonts w:ascii="宋体" w:eastAsia="宋体" w:hAnsi="宋体" w:hint="eastAsia"/>
          <w:sz w:val="28"/>
          <w:szCs w:val="28"/>
          <w:lang w:eastAsia="zh-CN"/>
        </w:rPr>
        <w:t>算法和</w:t>
      </w:r>
      <w:r w:rsidRPr="00ED6116">
        <w:rPr>
          <w:rFonts w:ascii="宋体" w:eastAsia="宋体" w:hAnsi="宋体"/>
          <w:sz w:val="28"/>
          <w:szCs w:val="28"/>
          <w:lang w:eastAsia="zh-CN"/>
        </w:rPr>
        <w:t>系统</w:t>
      </w:r>
      <w:r w:rsidR="00E07978">
        <w:rPr>
          <w:rFonts w:ascii="宋体" w:eastAsia="宋体" w:hAnsi="宋体" w:hint="eastAsia"/>
          <w:sz w:val="28"/>
          <w:szCs w:val="28"/>
          <w:lang w:eastAsia="zh-CN"/>
        </w:rPr>
        <w:t>以及</w:t>
      </w:r>
      <w:r w:rsidRPr="00ED6116">
        <w:rPr>
          <w:rFonts w:ascii="宋体" w:eastAsia="宋体" w:hAnsi="宋体"/>
          <w:sz w:val="28"/>
          <w:szCs w:val="28"/>
          <w:lang w:eastAsia="zh-CN"/>
        </w:rPr>
        <w:t>机构治理是不同实现机制。</w:t>
      </w:r>
    </w:p>
    <w:p w14:paraId="7B957AD9" w14:textId="77777777" w:rsidR="00E74E38" w:rsidRPr="00ED6116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ED6116">
        <w:rPr>
          <w:rFonts w:ascii="宋体" w:eastAsia="宋体" w:hAnsi="宋体"/>
          <w:sz w:val="28"/>
          <w:szCs w:val="28"/>
          <w:lang w:eastAsia="zh-CN"/>
        </w:rPr>
        <w:t>2. H类的职业结构优势：保密、诚信、持续专业发展、角色界限、同业关系与利益冲突主要由17份职业文件稳定表达。</w:t>
      </w:r>
    </w:p>
    <w:p w14:paraId="3096CD25" w14:textId="32466C36" w:rsidR="00E74E38" w:rsidRPr="00ED6116" w:rsidRDefault="00000000">
      <w:pPr>
        <w:rPr>
          <w:rFonts w:ascii="宋体" w:eastAsia="宋体" w:hAnsi="宋体" w:hint="eastAsia"/>
          <w:sz w:val="28"/>
          <w:szCs w:val="28"/>
          <w:lang w:eastAsia="zh-CN"/>
        </w:rPr>
      </w:pPr>
      <w:r w:rsidRPr="00ED6116">
        <w:rPr>
          <w:rFonts w:ascii="宋体" w:eastAsia="宋体" w:hAnsi="宋体"/>
          <w:sz w:val="28"/>
          <w:szCs w:val="28"/>
          <w:lang w:eastAsia="zh-CN"/>
        </w:rPr>
        <w:t>3. 严格M类的制度化特征：质量保证、透明、合同和错误更正在2/2份标准中出现</w:t>
      </w:r>
      <w:r w:rsidR="00E07978">
        <w:rPr>
          <w:rFonts w:ascii="宋体" w:eastAsia="宋体" w:hAnsi="宋体" w:hint="eastAsia"/>
          <w:sz w:val="28"/>
          <w:szCs w:val="28"/>
          <w:lang w:eastAsia="zh-CN"/>
        </w:rPr>
        <w:t>。</w:t>
      </w:r>
    </w:p>
    <w:p w14:paraId="2448D717" w14:textId="77777777" w:rsidR="00E74E38" w:rsidRPr="00ED6116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ED6116">
        <w:rPr>
          <w:rFonts w:ascii="宋体" w:eastAsia="宋体" w:hAnsi="宋体"/>
          <w:sz w:val="28"/>
          <w:szCs w:val="28"/>
          <w:lang w:eastAsia="zh-CN"/>
        </w:rPr>
        <w:t>4. AI宣言的规范创新：人机协作、透明、公平报酬、知情同意、算法公平和文化语言风险在10份立场文件中明显增强。</w:t>
      </w:r>
    </w:p>
    <w:p w14:paraId="19704E3F" w14:textId="2DE8188D" w:rsidR="00E74E38" w:rsidRPr="00ED6116" w:rsidRDefault="00000000">
      <w:pPr>
        <w:rPr>
          <w:rFonts w:ascii="宋体" w:eastAsia="宋体" w:hAnsi="宋体"/>
          <w:sz w:val="28"/>
          <w:szCs w:val="28"/>
          <w:lang w:eastAsia="zh-CN"/>
        </w:rPr>
      </w:pPr>
      <w:r w:rsidRPr="00ED6116">
        <w:rPr>
          <w:rFonts w:ascii="宋体" w:eastAsia="宋体" w:hAnsi="宋体"/>
          <w:sz w:val="28"/>
          <w:szCs w:val="28"/>
          <w:lang w:eastAsia="zh-CN"/>
        </w:rPr>
        <w:t>5. 共同缺口：技术使用总程序、可解释性、当事人自主和跨专业协作仍未形成跨文本稳定而独立的规范表达。</w:t>
      </w:r>
    </w:p>
    <w:p w14:paraId="51FBBF8A" w14:textId="7B073537" w:rsidR="00E74E38" w:rsidRDefault="00E74E38">
      <w:pPr>
        <w:rPr>
          <w:lang w:eastAsia="zh-CN"/>
        </w:rPr>
      </w:pPr>
    </w:p>
    <w:sectPr w:rsidR="00E74E38" w:rsidSect="00034616">
      <w:headerReference w:type="default" r:id="rId8"/>
      <w:footerReference w:type="default" r:id="rId9"/>
      <w:pgSz w:w="23811" w:h="16838" w:orient="landscape"/>
      <w:pgMar w:top="567" w:right="454" w:bottom="567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5034472">
    <w:abstractNumId w:val="8"/>
  </w:num>
  <w:num w:numId="2" w16cid:durableId="905456636">
    <w:abstractNumId w:val="6"/>
  </w:num>
  <w:num w:numId="3" w16cid:durableId="1761104548">
    <w:abstractNumId w:val="5"/>
  </w:num>
  <w:num w:numId="4" w16cid:durableId="445581871">
    <w:abstractNumId w:val="4"/>
  </w:num>
  <w:num w:numId="5" w16cid:durableId="336007979">
    <w:abstractNumId w:val="7"/>
  </w:num>
  <w:num w:numId="6" w16cid:durableId="731268543">
    <w:abstractNumId w:val="3"/>
  </w:num>
  <w:num w:numId="7" w16cid:durableId="1094668104">
    <w:abstractNumId w:val="2"/>
  </w:num>
  <w:num w:numId="8" w16cid:durableId="148908924">
    <w:abstractNumId w:val="1"/>
  </w:num>
  <w:num w:numId="9" w16cid:durableId="10442894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4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483D"/>
    <w:rsid w:val="0029639D"/>
    <w:rsid w:val="00326F90"/>
    <w:rsid w:val="00AA1D8D"/>
    <w:rsid w:val="00B362A9"/>
    <w:rsid w:val="00B47730"/>
    <w:rsid w:val="00C244F1"/>
    <w:rsid w:val="00CB0664"/>
    <w:rsid w:val="00E07978"/>
    <w:rsid w:val="00E74E38"/>
    <w:rsid w:val="00ED61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A1C8B1"/>
  <w14:defaultImageDpi w14:val="300"/>
  <w15:docId w15:val="{A612B33F-5A9A-994E-8233-410B378C3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1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1261</Words>
  <Characters>7189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YangSihan</cp:lastModifiedBy>
  <cp:revision>3</cp:revision>
  <dcterms:created xsi:type="dcterms:W3CDTF">2013-12-23T23:15:00Z</dcterms:created>
  <dcterms:modified xsi:type="dcterms:W3CDTF">2026-08-01T02:52:00Z</dcterms:modified>
  <cp:category/>
</cp:coreProperties>
</file>