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Arial" w:hAnsi="Arial" w:eastAsia="Noto Sans CJK SC"/>
          <w:b/>
          <w:i w:val="0"/>
          <w:color w:val="1F4E79"/>
          <w:sz w:val="36"/>
        </w:rPr>
        <w:t>10份AI/MT立场文件“错误更正义务”逐份复核表</w:t>
      </w:r>
    </w:p>
    <w:p>
      <w:pPr>
        <w:spacing w:after="160" w:before="0" w:line="276" w:lineRule="auto"/>
        <w:jc w:val="center"/>
      </w:pPr>
      <w:r>
        <w:rPr>
          <w:rFonts w:ascii="Arial" w:hAnsi="Arial" w:eastAsia="Noto Sans CJK SC"/>
          <w:b w:val="0"/>
          <w:i/>
          <w:color w:val="5A5A5A"/>
          <w:sz w:val="20"/>
        </w:rPr>
        <w:t>Document-by-document Audit of Error Rectification in Ten AI/MT Position Papers</w:t>
      </w:r>
    </w:p>
    <w:p>
      <w:pPr>
        <w:spacing w:after="100" w:before="0" w:line="276" w:lineRule="auto"/>
      </w:pPr>
      <w:r>
        <w:rPr>
          <w:rFonts w:ascii="Arial" w:hAnsi="Arial" w:eastAsia="Noto Sans CJK SC"/>
          <w:b w:val="0"/>
          <w:i w:val="0"/>
          <w:sz w:val="19"/>
        </w:rPr>
        <w:t>判定标准：只有在具体错误或缺陷已经被识别后，文件明确要求纠正、告知、覆盖、撤回或补救，才计入第10维“错误更正义务”。一般人工监督、质量审计、译后编辑必要性、风险警示或系统持续改进本身不足以成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007"/>
            <w:vAlign w:val="center"/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编号与文件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直接证据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复核理由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最终编码处理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sz w:val="15"/>
              </w:rPr>
              <w:t>A01</w:t>
              <w:br/>
              <w:t>CEATL《Statement on Artificial Intelligence》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否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涉及训练授权、著作权、报酬与文化生态；未发现具体错误发生后的纠正、通知或补救义务。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不计入10；相关条款仍可支持17/20/25等维度。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直接证据数按文件覆盖计数；同一文件多处出现仍计1份。</w:t>
            </w:r>
          </w:p>
        </w:tc>
      </w:tr>
      <w:tr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sz w:val="15"/>
              </w:rPr>
              <w:t>A02</w:t>
              <w:br/>
              <w:t>ITI《Slow Translation Manifesto》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否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强调人工审慎、质量与反效率主义；未形成独立的个案错误更正条款。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不计入10。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直接证据数按文件覆盖计数；同一文件多处出现仍计1份。</w:t>
            </w:r>
          </w:p>
        </w:tc>
      </w:tr>
      <w:tr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sz w:val="15"/>
              </w:rPr>
              <w:t>A03</w:t>
              <w:br/>
              <w:t>FIT《人工智能在口译中应用的立场文件》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否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强调自动口译风险、准确性、资格和保密；未明确要求对已发现的具体系统输出进行纠正或补救。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不计入10；风险表述归准确/质量/拒绝有害工作。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直接证据数按文件覆盖计数；同一文件多处出现仍计1份。</w:t>
            </w:r>
          </w:p>
        </w:tc>
      </w:tr>
      <w:tr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sz w:val="15"/>
              </w:rPr>
              <w:t>A04</w:t>
              <w:br/>
              <w:t>FIT《人工智能时代的机器翻译立场文件》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否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指出MT缺陷和译后编辑必要性，但属于能力边界、质量控制和人工审核，不等于具体错误发现后的独立补救义务。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不计入10。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直接证据数按文件覆盖计数；同一文件多处出现仍计1份。</w:t>
            </w:r>
          </w:p>
        </w:tc>
      </w:tr>
      <w:tr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sz w:val="15"/>
              </w:rPr>
              <w:t>A05</w:t>
              <w:br/>
              <w:t>AVTE《Statement on Generative AI》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否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强调创作质量、权利、偏差和劳动影响；未发现直接个案纠错条款。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不计入10。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直接证据数按文件覆盖计数；同一文件多处出现仍计1份。</w:t>
            </w:r>
          </w:p>
        </w:tc>
      </w:tr>
      <w:tr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sz w:val="15"/>
              </w:rPr>
              <w:t>A06</w:t>
              <w:br/>
              <w:t>AVTE《Machine Translation Manifesto》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否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强调人工参与、质量、合理报酬和作者身份；未形成具体错误通知或补救程序。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不计入10。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直接证据数按文件覆盖计数；同一文件多处出现仍计1份。</w:t>
            </w:r>
          </w:p>
        </w:tc>
      </w:tr>
      <w:tr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sz w:val="15"/>
              </w:rPr>
              <w:t>A07</w:t>
              <w:br/>
              <w:t>SFT《Prise de position sur l’intelligence artificielle》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否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文中出现校订/修正作为翻译工作环节，但未将“错误被发现后必须纠正、告知或补救”规定为独立义务。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不计入10；相关内容归质量保证/专业判断。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直接证据数按文件覆盖计数；同一文件多处出现仍计1份。</w:t>
            </w:r>
          </w:p>
        </w:tc>
      </w:tr>
      <w:tr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sz w:val="15"/>
              </w:rPr>
              <w:t>A08</w:t>
              <w:br/>
              <w:t>CIOL《AI Voices 2025》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否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讨论AI素养、偏差、隐私和治理风险；未发现直接个案错误更正要求。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不计入10。</w:t>
            </w:r>
          </w:p>
        </w:tc>
        <w:tc>
          <w:tcPr>
            <w:tcW w:type="dxa" w:w="2007"/>
            <w:vAlign w:val="center"/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直接证据数按文件覆盖计数；同一文件多处出现仍计1份。</w:t>
            </w:r>
          </w:p>
        </w:tc>
      </w:tr>
      <w:tr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sz w:val="15"/>
              </w:rPr>
              <w:t>A09</w:t>
              <w:br/>
              <w:t>Interpreting SAFE-AI Task Force Guidance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是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3.4.2要求人工审计的内容应变化，以使“identified errors are corrected”，并要求偏差被迅速纠正。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计入10；同时关联8质量保证、22算法公平、29问责。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直接证据数按文件覆盖计数；同一文件多处出现仍计1份。</w:t>
            </w:r>
          </w:p>
        </w:tc>
      </w:tr>
      <w:tr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i w:val="0"/>
                <w:sz w:val="15"/>
              </w:rPr>
              <w:t>A10</w:t>
              <w:br/>
              <w:t>AUSIT《Position Statement on AI in Translation &amp; Interpreting》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是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明确要求人工监督者介入并“rectify any shortcomings detected”，包括纠正误译或告知客户/终端用户错误内容。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计入10；同时关联8质量保证、21人机协作、29问责。</w:t>
            </w:r>
          </w:p>
        </w:tc>
        <w:tc>
          <w:tcPr>
            <w:tcW w:type="dxa" w:w="200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i w:val="0"/>
                <w:sz w:val="15"/>
              </w:rPr>
              <w:t>直接证据数按文件覆盖计数；同一文件多处出现仍计1份。</w:t>
            </w:r>
          </w:p>
        </w:tc>
      </w:tr>
    </w:tbl>
    <w:p>
      <w:pPr>
        <w:spacing w:after="80" w:before="100" w:line="276" w:lineRule="auto"/>
      </w:pPr>
      <w:r>
        <w:rPr>
          <w:rFonts w:ascii="Arial" w:hAnsi="Arial" w:eastAsia="Noto Sans CJK SC"/>
          <w:b/>
          <w:i w:val="0"/>
          <w:color w:val="963C1E"/>
          <w:sz w:val="20"/>
        </w:rPr>
        <w:t>复核结论：A09与A10为直接证据，AI宣言类错误更正覆盖率为2/10（20%）。A01–A08未发现满足操作定义的独立条款。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