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0"/>
      </w:pPr>
    </w:p>
    <w:p>
      <w:pPr>
        <w:spacing w:after="200"/>
        <w:jc w:val="center"/>
      </w:pPr>
      <w:r>
        <w:rPr>
          <w:rFonts w:ascii="Arial" w:cs="Arial" w:eastAsia="Arial" w:hAnsi="Arial"/>
          <w:b/>
          <w:bCs/>
          <w:color w:val="1B2A4A"/>
          <w:sz w:val="56"/>
          <w:szCs w:val="56"/>
        </w:rPr>
        <w:t xml:space="preserve">KAELUS.AI</w:t>
      </w:r>
    </w:p>
    <w:p>
      <w:pPr>
        <w:spacing w:after="100"/>
        <w:jc w:val="center"/>
      </w:pPr>
      <w:r>
        <w:rPr>
          <w:rFonts w:ascii="Arial" w:cs="Arial" w:eastAsia="Arial" w:hAnsi="Arial"/>
          <w:color w:val="2E75B6"/>
          <w:sz w:val="22"/>
          <w:szCs w:val="22"/>
        </w:rPr>
        <w:t xml:space="preserve">──────────────────────────────</w:t>
      </w:r>
    </w:p>
    <w:p>
      <w:pPr>
        <w:spacing w:after="400"/>
        <w:jc w:val="center"/>
      </w:pPr>
      <w:r>
        <w:rPr>
          <w:rFonts w:ascii="Arial" w:cs="Arial" w:eastAsia="Arial" w:hAnsi="Arial"/>
          <w:b/>
          <w:bCs/>
          <w:color w:val="2E75B6"/>
          <w:sz w:val="32"/>
          <w:szCs w:val="32"/>
        </w:rPr>
        <w:t xml:space="preserve">PRODUCT REQUIREMENTS DOCUMENT</w:t>
      </w:r>
    </w:p>
    <w:p>
      <w:pPr>
        <w:spacing w:after="120"/>
        <w:jc w:val="center"/>
      </w:pPr>
      <w:r>
        <w:rPr>
          <w:rFonts w:ascii="Arial" w:cs="Arial" w:eastAsia="Arial" w:hAnsi="Arial"/>
          <w:color w:val="1B2A4A"/>
          <w:sz w:val="28"/>
          <w:szCs w:val="28"/>
        </w:rPr>
        <w:t xml:space="preserve">CMMC 2.0 Compliance Readiness Platform</w:t>
      </w:r>
    </w:p>
    <w:p>
      <w:pPr>
        <w:spacing w:after="80"/>
        <w:jc w:val="center"/>
      </w:pPr>
      <w:r>
        <w:rPr>
          <w:rFonts w:ascii="Arial" w:cs="Arial" w:eastAsia="Arial" w:hAnsi="Arial"/>
          <w:color w:val="666666"/>
          <w:sz w:val="24"/>
          <w:szCs w:val="24"/>
        </w:rPr>
        <w:t xml:space="preserve">For Micro-Defense Contractors</w:t>
      </w:r>
    </w:p>
    <w:p>
      <w:pPr>
        <w:spacing w:after="1000"/>
      </w:pPr>
    </w:p>
    <w:p>
      <w:pPr>
        <w:spacing w:after="60"/>
        <w:jc w:val="center"/>
      </w:pPr>
      <w:r>
        <w:rPr>
          <w:rFonts w:ascii="Arial" w:cs="Arial" w:eastAsia="Arial" w:hAnsi="Arial"/>
          <w:b/>
          <w:bCs/>
          <w:color w:val="1B2A4A"/>
          <w:sz w:val="22"/>
          <w:szCs w:val="22"/>
        </w:rPr>
        <w:t xml:space="preserve">Product Codename: ShieldReady</w:t>
      </w:r>
    </w:p>
    <w:p>
      <w:pPr>
        <w:spacing w:after="60"/>
        <w:jc w:val="center"/>
      </w:pPr>
      <w:r>
        <w:rPr>
          <w:rFonts w:ascii="Arial" w:cs="Arial" w:eastAsia="Arial" w:hAnsi="Arial"/>
          <w:color w:val="666666"/>
          <w:sz w:val="20"/>
          <w:szCs w:val="20"/>
        </w:rPr>
        <w:t xml:space="preserve">Version: 1.0  |  Date: March 10, 2026</w:t>
      </w:r>
    </w:p>
    <w:p>
      <w:pPr>
        <w:spacing w:after="60"/>
        <w:jc w:val="center"/>
      </w:pPr>
      <w:r>
        <w:rPr>
          <w:rFonts w:ascii="Arial" w:cs="Arial" w:eastAsia="Arial" w:hAnsi="Arial"/>
          <w:color w:val="666666"/>
          <w:sz w:val="20"/>
          <w:szCs w:val="20"/>
        </w:rPr>
        <w:t xml:space="preserve">Classification: Internal / Strategic</w:t>
      </w:r>
    </w:p>
    <w:p>
      <w:pPr>
        <w:spacing w:after="60"/>
        <w:jc w:val="center"/>
      </w:pPr>
      <w:r>
        <w:rPr>
          <w:rFonts w:ascii="Arial" w:cs="Arial" w:eastAsia="Arial" w:hAnsi="Arial"/>
          <w:color w:val="666666"/>
          <w:sz w:val="20"/>
          <w:szCs w:val="20"/>
        </w:rPr>
        <w:t xml:space="preserve">Author: Kaelus.ai Product Team</w:t>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60" w:line="276"/>
      </w:pPr>
      <w:r>
        <w:rPr>
          <w:rFonts w:ascii="Arial" w:cs="Arial" w:eastAsia="Arial" w:hAnsi="Arial"/>
          <w:sz w:val="22"/>
          <w:szCs w:val="22"/>
        </w:rPr>
        <w:t xml:space="preserve">ShieldReady is a self-service, AI-powered compliance readiness platform designed to guide micro-defense contractors (1–10 employees) through CMMC Level 2 certification. It bridges the critical pricing vacuum between free SPRS score calculators and enterprise GRC platforms costing $5,000–$50,000+/year, offering a comprehensive compliance solution at $79–$299/month.</w:t>
      </w:r>
    </w:p>
    <w:p>
      <w:pPr>
        <w:spacing w:after="160" w:line="276"/>
      </w:pPr>
      <w:r>
        <w:rPr>
          <w:rFonts w:ascii="Arial" w:cs="Arial" w:eastAsia="Arial" w:hAnsi="Arial"/>
          <w:sz w:val="22"/>
          <w:szCs w:val="22"/>
        </w:rPr>
        <w:t xml:space="preserve">The Pentagon’s CMMC 2.0 Final Rule, effective November 2025, mandates that over 220,000 companies in the Defense Industrial Base achieve certified compliance to retain DoD contracts. As of 2026, only 1% of contractors are fully prepared. 15% have already lost contracts due to unmet cybersecurity requirements. The average compliance cost of $98,000–$305,000 is prohibitive for small firms, and the SBA has formally warned that CMMC could force small businesses out of defense work entirely.</w:t>
      </w:r>
    </w:p>
    <w:p>
      <w:pPr>
        <w:spacing w:after="160" w:line="276"/>
      </w:pPr>
      <w:r>
        <w:rPr>
          <w:rFonts w:ascii="Arial" w:cs="Arial" w:eastAsia="Arial" w:hAnsi="Arial"/>
          <w:sz w:val="22"/>
          <w:szCs w:val="22"/>
        </w:rPr>
        <w:t xml:space="preserve">ShieldReady solves this by translating all 110 NIST SP 800-171 controls into plain-English guidance, automating policy document generation, calculating live SPRS scores, and producing audit-ready evidence packages — all without requiring cybersecurity expertise. The platform is an organic extension of the Kaelus.ai compliance and security ecosystem.</w:t>
      </w:r>
    </w:p>
    <w:p>
      <w:r>
        <w:br w:type="page"/>
      </w:r>
    </w:p>
    <w:p>
      <w:pPr>
        <w:pStyle w:val="Heading1"/>
      </w:pPr>
      <w:r>
        <w:t xml:space="preserve">2. Product Vision &amp; Strategy</w:t>
      </w:r>
    </w:p>
    <w:p>
      <w:pPr>
        <w:pStyle w:val="Heading2"/>
      </w:pPr>
      <w:r>
        <w:t xml:space="preserve">2.1 Vision Statement</w:t>
      </w:r>
    </w:p>
    <w:p>
      <w:pPr>
        <w:spacing w:after="160" w:line="276"/>
      </w:pPr>
      <w:r>
        <w:rPr>
          <w:rFonts w:ascii="Arial" w:cs="Arial" w:eastAsia="Arial" w:hAnsi="Arial"/>
          <w:i/>
          <w:iCs/>
          <w:color w:val="2E75B6"/>
          <w:sz w:val="22"/>
          <w:szCs w:val="22"/>
        </w:rPr>
        <w:t xml:space="preserve">"</w:t>
      </w:r>
      <w:r>
        <w:rPr>
          <w:rFonts w:ascii="Arial" w:cs="Arial" w:eastAsia="Arial" w:hAnsi="Arial"/>
          <w:i/>
          <w:iCs/>
          <w:color w:val="2E75B6"/>
          <w:sz w:val="22"/>
          <w:szCs w:val="22"/>
        </w:rPr>
        <w:t xml:space="preserve">Every small defense contractor in America should be able to achieve CMMC compliance without hiring a consultant, without a six-figure budget, and without cybersecurity expertise. ShieldReady makes compliance accessible, affordable, and achievable.</w:t>
      </w:r>
      <w:r>
        <w:rPr>
          <w:rFonts w:ascii="Arial" w:cs="Arial" w:eastAsia="Arial" w:hAnsi="Arial"/>
          <w:i/>
          <w:iCs/>
          <w:color w:val="2E75B6"/>
          <w:sz w:val="22"/>
          <w:szCs w:val="22"/>
        </w:rPr>
        <w:t xml:space="preserve">"</w:t>
      </w:r>
    </w:p>
    <w:p>
      <w:pPr>
        <w:pStyle w:val="Heading2"/>
      </w:pPr>
      <w:r>
        <w:t xml:space="preserve">2.2 Strategic Positioning</w:t>
      </w:r>
    </w:p>
    <w:p>
      <w:pPr>
        <w:spacing w:after="160" w:line="276"/>
      </w:pPr>
      <w:r>
        <w:rPr>
          <w:rFonts w:ascii="Arial" w:cs="Arial" w:eastAsia="Arial" w:hAnsi="Arial"/>
          <w:sz w:val="22"/>
          <w:szCs w:val="22"/>
        </w:rPr>
        <w:t xml:space="preserve">ShieldReady occupies a unique position in the CMMC compliance market: the affordable, AI-powered, self-service tier for micro-contractors. The competitive landscape currently has two extremes — free but incomplete point tools (SPRS calculators, the CUI Institute toolkit) and enterprise platforms requiring five-figure annual commitments (Kiteworks, Drata, Vanta, Secureframe). No product addresses the 80,000+ contractors in the sub-50-employee segment at a price point under $100/month with integrated AI guidance.</w:t>
      </w:r>
    </w:p>
    <w:p>
      <w:pPr>
        <w:pStyle w:val="Heading2"/>
      </w:pPr>
      <w:r>
        <w:t xml:space="preserve">2.3 Relationship to Kaelus.ai</w:t>
      </w:r>
    </w:p>
    <w:p>
      <w:pPr>
        <w:spacing w:after="160" w:line="276"/>
      </w:pPr>
      <w:r>
        <w:rPr>
          <w:rFonts w:ascii="Arial" w:cs="Arial" w:eastAsia="Arial" w:hAnsi="Arial"/>
          <w:sz w:val="22"/>
          <w:szCs w:val="22"/>
        </w:rPr>
        <w:t xml:space="preserve">ShieldReady extends the Kaelus.ai product ecosystem from real-time AI traffic compliance (the existing Compliance Firewall) into proactive compliance readiness. Kaelus.ai stops data leaks in real-time; ShieldReady ensures the organization’s security posture meets federal standards before the audit. Together, they form a complete compliance lifecycle: preparation (ShieldReady) and enforcement (Kaelus Firewall).</w:t>
      </w:r>
    </w:p>
    <w:p>
      <w:r>
        <w:br w:type="page"/>
      </w:r>
    </w:p>
    <w:p>
      <w:pPr>
        <w:pStyle w:val="Heading1"/>
      </w:pPr>
      <w:r>
        <w:t xml:space="preserve">3. Market Analysis</w:t>
      </w:r>
    </w:p>
    <w:p>
      <w:pPr>
        <w:pStyle w:val="Heading2"/>
      </w:pPr>
      <w:r>
        <w:t xml:space="preserve">3.1 Total Addressable Market (TAM)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Companies in DIB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220,000+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DoD / CMMC.com</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Needing Level 2</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80,000+</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Small Business Coach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Avg. Compliance Spend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$98K–$305K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Delve / DoD Estimate</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TAM (Compliance Market)</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$8B+</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Calculated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 (Sub-50 Employee)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$576M–$1.9B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 80K × $600–$2,400/yr</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Fully Prepared (%)</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Envision Consulting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Lost Contracts (%)</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Alluvionic Survey</w:t>
            </w:r>
          </w:p>
        </w:tc>
      </w:tr>
    </w:tbl>
    <w:p>
      <w:pPr>
        <w:spacing w:after="100"/>
      </w:pPr>
    </w:p>
    <w:p>
      <w:pPr>
        <w:pStyle w:val="Heading2"/>
      </w:pPr>
      <w:r>
        <w:t xml:space="preserve">3.2 Key Market Drivers</w:t>
      </w:r>
    </w:p>
    <w:p>
      <w:pPr>
        <w:spacing w:after="160" w:line="276"/>
      </w:pPr>
      <w:r>
        <w:rPr>
          <w:rFonts w:ascii="Arial" w:cs="Arial" w:eastAsia="Arial" w:hAnsi="Arial"/>
          <w:b/>
          <w:bCs/>
          <w:sz w:val="22"/>
          <w:szCs w:val="22"/>
        </w:rPr>
        <w:t xml:space="preserve">Regulatory Mandate: </w:t>
      </w:r>
      <w:r>
        <w:rPr>
          <w:rFonts w:ascii="Arial" w:cs="Arial" w:eastAsia="Arial" w:hAnsi="Arial"/>
          <w:sz w:val="22"/>
          <w:szCs w:val="22"/>
        </w:rPr>
        <w:t xml:space="preserve">CMMC Phase 1 enforcement began November 2025. Phase 2 (November 2026) requires third-party C3PAO certification for all CUI contracts. This is not optional — non-compliant contractors lose bidding eligibility.</w:t>
      </w:r>
    </w:p>
    <w:p>
      <w:pPr>
        <w:spacing w:after="160" w:line="276"/>
      </w:pPr>
      <w:r>
        <w:rPr>
          <w:rFonts w:ascii="Arial" w:cs="Arial" w:eastAsia="Arial" w:hAnsi="Arial"/>
          <w:b/>
          <w:bCs/>
          <w:sz w:val="22"/>
          <w:szCs w:val="22"/>
        </w:rPr>
        <w:t xml:space="preserve">Assessor Bottleneck: </w:t>
      </w:r>
      <w:r>
        <w:rPr>
          <w:rFonts w:ascii="Arial" w:cs="Arial" w:eastAsia="Arial" w:hAnsi="Arial"/>
          <w:sz w:val="22"/>
          <w:szCs w:val="22"/>
        </w:rPr>
        <w:t xml:space="preserve">Limited C3PAO availability is pushing assessment fees to $30,000–$150,000 by late 2026. Self-assessment tools that reduce reliance on external assessors have immediate demand.</w:t>
      </w:r>
    </w:p>
    <w:p>
      <w:pPr>
        <w:spacing w:after="160" w:line="276"/>
      </w:pPr>
      <w:r>
        <w:rPr>
          <w:rFonts w:ascii="Arial" w:cs="Arial" w:eastAsia="Arial" w:hAnsi="Arial"/>
          <w:b/>
          <w:bCs/>
          <w:sz w:val="22"/>
          <w:szCs w:val="22"/>
        </w:rPr>
        <w:t xml:space="preserve">Supply Chain Pressure: </w:t>
      </w:r>
      <w:r>
        <w:rPr>
          <w:rFonts w:ascii="Arial" w:cs="Arial" w:eastAsia="Arial" w:hAnsi="Arial"/>
          <w:sz w:val="22"/>
          <w:szCs w:val="22"/>
        </w:rPr>
        <w:t xml:space="preserve">Prime contractors are now accountable for subcontractor cybersecurity. Primes increasingly exclude non-compliant subs, creating urgent demand from small firms to demonstrate readiness.</w:t>
      </w:r>
    </w:p>
    <w:p>
      <w:pPr>
        <w:spacing w:after="160" w:line="276"/>
      </w:pPr>
      <w:r>
        <w:rPr>
          <w:rFonts w:ascii="Arial" w:cs="Arial" w:eastAsia="Arial" w:hAnsi="Arial"/>
          <w:b/>
          <w:bCs/>
          <w:sz w:val="22"/>
          <w:szCs w:val="22"/>
        </w:rPr>
        <w:t xml:space="preserve">SBA Warning: </w:t>
      </w:r>
      <w:r>
        <w:rPr>
          <w:rFonts w:ascii="Arial" w:cs="Arial" w:eastAsia="Arial" w:hAnsi="Arial"/>
          <w:sz w:val="22"/>
          <w:szCs w:val="22"/>
        </w:rPr>
        <w:t xml:space="preserve">The SBA Office of Advocacy formally warned the DoD that CMMC implementation could eliminate small businesses from the defense supply chain, creating political pressure for affordable solutions.</w:t>
      </w:r>
    </w:p>
    <w:p>
      <w:pPr>
        <w:pStyle w:val="Heading2"/>
      </w:pPr>
      <w:r>
        <w:t xml:space="preserve">3.3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560"/>
        <w:gridCol w:w="1560"/>
        <w:gridCol w:w="1560"/>
        <w:gridCol w:w="1248"/>
        <w:gridCol w:w="1560"/>
      </w:tblGrid>
      <w:tr>
        <w:tc>
          <w:tcPr>
            <w:tcW w:type="dxa" w:w="187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Competitor</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Price/Year</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AI Guidance</w:t>
            </w:r>
          </w:p>
        </w:tc>
        <w:tc>
          <w:tcPr>
            <w:tcW w:type="dxa" w:w="1248"/>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SSP Gen</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Gap</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Kiteworks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$5K–$50K+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Mid-Large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Limited</w:t>
            </w:r>
          </w:p>
        </w:tc>
        <w:tc>
          <w:tcPr>
            <w:tcW w:type="dxa" w:w="1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Price</w:t>
            </w:r>
          </w:p>
        </w:tc>
      </w:tr>
      <w:tr>
        <w:tc>
          <w:tcPr>
            <w:tcW w:type="dxa" w:w="1872"/>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Drata/Vanta</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$10K–$25K+</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Mid-Large</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Partial</w:t>
            </w:r>
          </w:p>
        </w:tc>
        <w:tc>
          <w:tcPr>
            <w:tcW w:type="dxa" w:w="1248"/>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Price/Focus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PreVeil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$4,999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SMB</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AI</w:t>
            </w:r>
          </w:p>
        </w:tc>
      </w:tr>
      <w:tr>
        <w:tc>
          <w:tcPr>
            <w:tcW w:type="dxa" w:w="1872"/>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Cenverity</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$108+</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SMB</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1248"/>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New entrant</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CUI Institute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SPRS only</w:t>
            </w:r>
          </w:p>
        </w:tc>
      </w:tr>
      <w:tr>
        <w:tc>
          <w:tcPr>
            <w:tcW w:type="dxa" w:w="1872"/>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ShieldReady</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$948–$3,588</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Micro (1–10)</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Full AI</w:t>
            </w:r>
          </w:p>
        </w:tc>
        <w:tc>
          <w:tcPr>
            <w:tcW w:type="dxa" w:w="1248"/>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Our Product</w:t>
            </w:r>
          </w:p>
        </w:tc>
      </w:tr>
    </w:tbl>
    <w:p>
      <w:pPr>
        <w:spacing w:after="100"/>
      </w:pPr>
    </w:p>
    <w:p>
      <w:r>
        <w:br w:type="page"/>
      </w:r>
    </w:p>
    <w:p>
      <w:pPr>
        <w:pStyle w:val="Heading1"/>
      </w:pPr>
      <w:r>
        <w:t xml:space="preserve">4. Target User Personas</w:t>
      </w:r>
    </w:p>
    <w:p>
      <w:pPr>
        <w:pStyle w:val="Heading2"/>
      </w:pPr>
      <w:r>
        <w:t xml:space="preserve">4.1 Primary Persona: The Micro-Contractor Owner</w:t>
      </w:r>
    </w:p>
    <w:p>
      <w:pPr>
        <w:spacing w:after="160" w:line="276"/>
      </w:pPr>
      <w:r>
        <w:rPr>
          <w:rFonts w:ascii="Arial" w:cs="Arial" w:eastAsia="Arial" w:hAnsi="Arial"/>
          <w:b/>
          <w:bCs/>
          <w:sz w:val="22"/>
          <w:szCs w:val="22"/>
        </w:rPr>
        <w:t xml:space="preserve">Name: </w:t>
      </w:r>
      <w:r>
        <w:rPr>
          <w:rFonts w:ascii="Arial" w:cs="Arial" w:eastAsia="Arial" w:hAnsi="Arial"/>
          <w:sz w:val="22"/>
          <w:szCs w:val="22"/>
        </w:rPr>
        <w:t xml:space="preserve">Rick Navarro, Owner of NavTech Precision Machining (8 employees)</w:t>
      </w:r>
    </w:p>
    <w:p>
      <w:pPr>
        <w:spacing w:after="160" w:line="276"/>
      </w:pPr>
      <w:r>
        <w:rPr>
          <w:rFonts w:ascii="Arial" w:cs="Arial" w:eastAsia="Arial" w:hAnsi="Arial"/>
          <w:b/>
          <w:bCs/>
          <w:sz w:val="22"/>
          <w:szCs w:val="22"/>
        </w:rPr>
        <w:t xml:space="preserve">Profile: </w:t>
      </w:r>
      <w:r>
        <w:rPr>
          <w:rFonts w:ascii="Arial" w:cs="Arial" w:eastAsia="Arial" w:hAnsi="Arial"/>
          <w:sz w:val="22"/>
          <w:szCs w:val="22"/>
        </w:rPr>
        <w:t xml:space="preserve">Rick runs a CNC machine shop producing parts for Lockheed Martin subcontracts. He handles CUI (engineering drawings with ITAR markings) daily. He has no dedicated IT staff — his nephew set up their WiFi and Office 365. Rick knows CMMC is coming but feels overwhelmed by the 110 controls and doesn’t know where to start.</w:t>
      </w:r>
    </w:p>
    <w:p>
      <w:pPr>
        <w:spacing w:after="160" w:line="276"/>
      </w:pPr>
      <w:r>
        <w:rPr>
          <w:rFonts w:ascii="Arial" w:cs="Arial" w:eastAsia="Arial" w:hAnsi="Arial"/>
          <w:b/>
          <w:bCs/>
          <w:sz w:val="22"/>
          <w:szCs w:val="22"/>
        </w:rPr>
        <w:t xml:space="preserve">Pain Points: </w:t>
      </w:r>
      <w:r>
        <w:rPr>
          <w:rFonts w:ascii="Arial" w:cs="Arial" w:eastAsia="Arial" w:hAnsi="Arial"/>
          <w:sz w:val="22"/>
          <w:szCs w:val="22"/>
        </w:rPr>
        <w:t xml:space="preserve">Cannot afford a $40,000 consultant. Doesn’t understand NIST jargon. Afraid of losing his DoD contracts. Needs step-by-step guidance, not a compliance framework.</w:t>
      </w:r>
    </w:p>
    <w:p>
      <w:pPr>
        <w:spacing w:after="160" w:line="276"/>
      </w:pPr>
      <w:r>
        <w:rPr>
          <w:rFonts w:ascii="Arial" w:cs="Arial" w:eastAsia="Arial" w:hAnsi="Arial"/>
          <w:b/>
          <w:bCs/>
          <w:sz w:val="22"/>
          <w:szCs w:val="22"/>
        </w:rPr>
        <w:t xml:space="preserve">Success Metric: </w:t>
      </w:r>
      <w:r>
        <w:rPr>
          <w:rFonts w:ascii="Arial" w:cs="Arial" w:eastAsia="Arial" w:hAnsi="Arial"/>
          <w:sz w:val="22"/>
          <w:szCs w:val="22"/>
        </w:rPr>
        <w:t xml:space="preserve">Rick achieves a passing SPRS score and generates a complete SSP document he can hand to a C3PAO assessor.</w:t>
      </w:r>
    </w:p>
    <w:p>
      <w:pPr>
        <w:pStyle w:val="Heading2"/>
      </w:pPr>
      <w:r>
        <w:t xml:space="preserve">4.2 Secondary Persona: The Compliance Consultant</w:t>
      </w:r>
    </w:p>
    <w:p>
      <w:pPr>
        <w:spacing w:after="160" w:line="276"/>
      </w:pPr>
      <w:r>
        <w:rPr>
          <w:rFonts w:ascii="Arial" w:cs="Arial" w:eastAsia="Arial" w:hAnsi="Arial"/>
          <w:b/>
          <w:bCs/>
          <w:sz w:val="22"/>
          <w:szCs w:val="22"/>
        </w:rPr>
        <w:t xml:space="preserve">Name: </w:t>
      </w:r>
      <w:r>
        <w:rPr>
          <w:rFonts w:ascii="Arial" w:cs="Arial" w:eastAsia="Arial" w:hAnsi="Arial"/>
          <w:sz w:val="22"/>
          <w:szCs w:val="22"/>
        </w:rPr>
        <w:t xml:space="preserve">Maria Chen, CMMC Registered Practitioner (RP)</w:t>
      </w:r>
    </w:p>
    <w:p>
      <w:pPr>
        <w:spacing w:after="160" w:line="276"/>
      </w:pPr>
      <w:r>
        <w:rPr>
          <w:rFonts w:ascii="Arial" w:cs="Arial" w:eastAsia="Arial" w:hAnsi="Arial"/>
          <w:b/>
          <w:bCs/>
          <w:sz w:val="22"/>
          <w:szCs w:val="22"/>
        </w:rPr>
        <w:t xml:space="preserve">Profile: </w:t>
      </w:r>
      <w:r>
        <w:rPr>
          <w:rFonts w:ascii="Arial" w:cs="Arial" w:eastAsia="Arial" w:hAnsi="Arial"/>
          <w:sz w:val="22"/>
          <w:szCs w:val="22"/>
        </w:rPr>
        <w:t xml:space="preserve">Maria advises 15–20 small defense contractors on CMMC readiness. She currently manages compliance manually using spreadsheets and Word documents. She spends 40+ hours per client on initial gap assessments.</w:t>
      </w:r>
    </w:p>
    <w:p>
      <w:pPr>
        <w:spacing w:after="160" w:line="276"/>
      </w:pPr>
      <w:r>
        <w:rPr>
          <w:rFonts w:ascii="Arial" w:cs="Arial" w:eastAsia="Arial" w:hAnsi="Arial"/>
          <w:b/>
          <w:bCs/>
          <w:sz w:val="22"/>
          <w:szCs w:val="22"/>
        </w:rPr>
        <w:t xml:space="preserve">Pain Points: </w:t>
      </w:r>
      <w:r>
        <w:rPr>
          <w:rFonts w:ascii="Arial" w:cs="Arial" w:eastAsia="Arial" w:hAnsi="Arial"/>
          <w:sz w:val="22"/>
          <w:szCs w:val="22"/>
        </w:rPr>
        <w:t xml:space="preserve">Needs a scalable tool to manage multiple clients. Wants white-label capability to maintain her brand. Current tools are either too expensive or too manual.</w:t>
      </w:r>
    </w:p>
    <w:p>
      <w:pPr>
        <w:spacing w:after="160" w:line="276"/>
      </w:pPr>
      <w:r>
        <w:rPr>
          <w:rFonts w:ascii="Arial" w:cs="Arial" w:eastAsia="Arial" w:hAnsi="Arial"/>
          <w:b/>
          <w:bCs/>
          <w:sz w:val="22"/>
          <w:szCs w:val="22"/>
        </w:rPr>
        <w:t xml:space="preserve">Success Metric: </w:t>
      </w:r>
      <w:r>
        <w:rPr>
          <w:rFonts w:ascii="Arial" w:cs="Arial" w:eastAsia="Arial" w:hAnsi="Arial"/>
          <w:sz w:val="22"/>
          <w:szCs w:val="22"/>
        </w:rPr>
        <w:t xml:space="preserve">Maria reduces per-client assessment time by 60% and manages all clients from a single dashboard.</w:t>
      </w:r>
    </w:p>
    <w:p>
      <w:r>
        <w:br w:type="page"/>
      </w:r>
    </w:p>
    <w:p>
      <w:pPr>
        <w:pStyle w:val="Heading1"/>
      </w:pPr>
      <w:r>
        <w:t xml:space="preserve">5. Product Features &amp; Requirements</w:t>
      </w:r>
    </w:p>
    <w:p>
      <w:pPr>
        <w:pStyle w:val="Heading2"/>
      </w:pPr>
      <w:r>
        <w:t xml:space="preserve">5.1 Feature Priority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560"/>
        <w:gridCol w:w="1500"/>
        <w:gridCol w:w="150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Effort</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CMMC Level Determination Wizard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MVP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P0</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110-Control Gap Assessment (Plain English)</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MVP</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Medium</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SPRS Score Calculator (-203 to +110)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MVP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P0</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Compliance Dashboard (Visual Status)</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MVP</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Medium</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AI-Powered Remediation Guidance per Control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MVP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P1</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Auto-Generated SSP Document</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MVP</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High</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Policy Document Generator (8 Core Policies)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MVP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P2</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POA&amp;M Tracker with Deadline Alerts</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V1.1</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Medium</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Evidence Collection Templates &amp; Upload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P2</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Multi-Client Consultant Dashboard</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V1.2</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High</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Mock Assessment Scoring Engine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V2.0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P3</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Board-Ready Compliance Reports</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V2.0</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Medium</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Medium</w:t>
            </w:r>
          </w:p>
        </w:tc>
      </w:tr>
    </w:tbl>
    <w:p>
      <w:pPr>
        <w:spacing w:after="100"/>
      </w:pPr>
    </w:p>
    <w:p>
      <w:pPr>
        <w:pStyle w:val="Heading2"/>
      </w:pPr>
      <w:r>
        <w:t xml:space="preserve">5.2 MVP Feature Specifications</w:t>
      </w:r>
    </w:p>
    <w:p>
      <w:pPr>
        <w:pStyle w:val="Heading3"/>
      </w:pPr>
      <w:r>
        <w:t xml:space="preserve">5.2.1 CMMC Level Determination Wizard</w:t>
      </w:r>
    </w:p>
    <w:p>
      <w:pPr>
        <w:spacing w:after="160" w:line="276"/>
      </w:pPr>
      <w:r>
        <w:rPr>
          <w:rFonts w:ascii="Arial" w:cs="Arial" w:eastAsia="Arial" w:hAnsi="Arial"/>
          <w:b/>
          <w:bCs/>
          <w:sz w:val="22"/>
          <w:szCs w:val="22"/>
        </w:rPr>
        <w:t xml:space="preserve">Description: </w:t>
      </w:r>
      <w:r>
        <w:rPr>
          <w:rFonts w:ascii="Arial" w:cs="Arial" w:eastAsia="Arial" w:hAnsi="Arial"/>
          <w:sz w:val="22"/>
          <w:szCs w:val="22"/>
        </w:rPr>
        <w:t xml:space="preserve">An onboarding questionnaire that determines whether the contractor needs Level 1 (17 controls, FCI only) or Level 2 (110 controls, CUI). The wizard asks about contract types, data handled, and DoD requirements in plain English.</w:t>
      </w:r>
    </w:p>
    <w:p>
      <w:pPr>
        <w:spacing w:after="160" w:line="276"/>
      </w:pPr>
      <w:r>
        <w:rPr>
          <w:rFonts w:ascii="Arial" w:cs="Arial" w:eastAsia="Arial" w:hAnsi="Arial"/>
          <w:b/>
          <w:bCs/>
          <w:sz w:val="22"/>
          <w:szCs w:val="22"/>
        </w:rPr>
        <w:t xml:space="preserve">Acceptance Criteria: </w:t>
      </w:r>
      <w:r>
        <w:rPr>
          <w:rFonts w:ascii="Arial" w:cs="Arial" w:eastAsia="Arial" w:hAnsi="Arial"/>
          <w:sz w:val="22"/>
          <w:szCs w:val="22"/>
        </w:rPr>
        <w:t xml:space="preserve">User completes onboarding in under 5 minutes. System accurately determines CMMC level based on CUI/FCI distinction. Output includes a summary explaining why that level applies and what it means.</w:t>
      </w:r>
    </w:p>
    <w:p>
      <w:pPr>
        <w:pStyle w:val="Heading3"/>
      </w:pPr>
      <w:r>
        <w:t xml:space="preserve">5.2.2 110-Control Gap Assessment Engine</w:t>
      </w:r>
    </w:p>
    <w:p>
      <w:pPr>
        <w:spacing w:after="160" w:line="276"/>
      </w:pPr>
      <w:r>
        <w:rPr>
          <w:rFonts w:ascii="Arial" w:cs="Arial" w:eastAsia="Arial" w:hAnsi="Arial"/>
          <w:b/>
          <w:bCs/>
          <w:sz w:val="22"/>
          <w:szCs w:val="22"/>
        </w:rPr>
        <w:t xml:space="preserve">Description: </w:t>
      </w:r>
      <w:r>
        <w:rPr>
          <w:rFonts w:ascii="Arial" w:cs="Arial" w:eastAsia="Arial" w:hAnsi="Arial"/>
          <w:sz w:val="22"/>
          <w:szCs w:val="22"/>
        </w:rPr>
        <w:t xml:space="preserve">The core assessment walks contractors through each of the 110 NIST SP 800-171 Rev 2 controls, organized by the 14 control families (Access Control, Audit &amp; Accountability, etc.). Each control is presented in plain English with a yes/no/partial response option. AI provides contextual help explaining what each control means for their specific business type.</w:t>
      </w:r>
    </w:p>
    <w:p>
      <w:pPr>
        <w:spacing w:after="160" w:line="276"/>
      </w:pPr>
      <w:r>
        <w:rPr>
          <w:rFonts w:ascii="Arial" w:cs="Arial" w:eastAsia="Arial" w:hAnsi="Arial"/>
          <w:b/>
          <w:bCs/>
          <w:sz w:val="22"/>
          <w:szCs w:val="22"/>
        </w:rPr>
        <w:t xml:space="preserve">Acceptance Criteria: </w:t>
      </w:r>
      <w:r>
        <w:rPr>
          <w:rFonts w:ascii="Arial" w:cs="Arial" w:eastAsia="Arial" w:hAnsi="Arial"/>
          <w:sz w:val="22"/>
          <w:szCs w:val="22"/>
        </w:rPr>
        <w:t xml:space="preserve">All 110 controls mapped and functional. Each control displays plain-English explanation alongside official NIST language. Progress saves automatically. Users can pause and resume. Assessment estimates remaining time.</w:t>
      </w:r>
    </w:p>
    <w:p>
      <w:pPr>
        <w:pStyle w:val="Heading3"/>
      </w:pPr>
      <w:r>
        <w:t xml:space="preserve">5.2.3 Live SPRS Score Calculator</w:t>
      </w:r>
    </w:p>
    <w:p>
      <w:pPr>
        <w:spacing w:after="160" w:line="276"/>
      </w:pPr>
      <w:r>
        <w:rPr>
          <w:rFonts w:ascii="Arial" w:cs="Arial" w:eastAsia="Arial" w:hAnsi="Arial"/>
          <w:b/>
          <w:bCs/>
          <w:sz w:val="22"/>
          <w:szCs w:val="22"/>
        </w:rPr>
        <w:t xml:space="preserve">Description: </w:t>
      </w:r>
      <w:r>
        <w:rPr>
          <w:rFonts w:ascii="Arial" w:cs="Arial" w:eastAsia="Arial" w:hAnsi="Arial"/>
          <w:sz w:val="22"/>
          <w:szCs w:val="22"/>
        </w:rPr>
        <w:t xml:space="preserve">Calculates the Supplier Performance Risk System (SPRS) score in real-time as the contractor completes the assessment. The scoring follows the publicly documented algorithm where each unmet control deducts a specific point value, ranging from -203 (all controls unmet) to +110 (full compliance). The score updates visually with each response.</w:t>
      </w:r>
    </w:p>
    <w:p>
      <w:pPr>
        <w:spacing w:after="160" w:line="276"/>
      </w:pPr>
      <w:r>
        <w:rPr>
          <w:rFonts w:ascii="Arial" w:cs="Arial" w:eastAsia="Arial" w:hAnsi="Arial"/>
          <w:b/>
          <w:bCs/>
          <w:sz w:val="22"/>
          <w:szCs w:val="22"/>
        </w:rPr>
        <w:t xml:space="preserve">Acceptance Criteria: </w:t>
      </w:r>
      <w:r>
        <w:rPr>
          <w:rFonts w:ascii="Arial" w:cs="Arial" w:eastAsia="Arial" w:hAnsi="Arial"/>
          <w:sz w:val="22"/>
          <w:szCs w:val="22"/>
        </w:rPr>
        <w:t xml:space="preserve">Score matches the official DoD SPRS scoring methodology exactly. Visual gauge shows current score with color coding (red/yellow/green zones). Score history tracked over time to show compliance trajectory.</w:t>
      </w:r>
    </w:p>
    <w:p>
      <w:pPr>
        <w:pStyle w:val="Heading3"/>
      </w:pPr>
      <w:r>
        <w:t xml:space="preserve">5.2.4 AI-Powered Remediation Engine</w:t>
      </w:r>
    </w:p>
    <w:p>
      <w:pPr>
        <w:spacing w:after="160" w:line="276"/>
      </w:pPr>
      <w:r>
        <w:rPr>
          <w:rFonts w:ascii="Arial" w:cs="Arial" w:eastAsia="Arial" w:hAnsi="Arial"/>
          <w:b/>
          <w:bCs/>
          <w:sz w:val="22"/>
          <w:szCs w:val="22"/>
        </w:rPr>
        <w:t xml:space="preserve">Description: </w:t>
      </w:r>
      <w:r>
        <w:rPr>
          <w:rFonts w:ascii="Arial" w:cs="Arial" w:eastAsia="Arial" w:hAnsi="Arial"/>
          <w:sz w:val="22"/>
          <w:szCs w:val="22"/>
        </w:rPr>
        <w:t xml:space="preserve">For each unmet or partially met control, the AI generates personalized remediation guidance. This includes step-by-step implementation instructions using affordable tools (Microsoft 365 GCC, BitLocker, etc.), estimated implementation time, cost estimates, and links to relevant NIST publications. The guidance adapts based on company size and existing infrastructure.</w:t>
      </w:r>
    </w:p>
    <w:p>
      <w:pPr>
        <w:spacing w:after="160" w:line="276"/>
      </w:pPr>
      <w:r>
        <w:rPr>
          <w:rFonts w:ascii="Arial" w:cs="Arial" w:eastAsia="Arial" w:hAnsi="Arial"/>
          <w:b/>
          <w:bCs/>
          <w:sz w:val="22"/>
          <w:szCs w:val="22"/>
        </w:rPr>
        <w:t xml:space="preserve">Acceptance Criteria: </w:t>
      </w:r>
      <w:r>
        <w:rPr>
          <w:rFonts w:ascii="Arial" w:cs="Arial" w:eastAsia="Arial" w:hAnsi="Arial"/>
          <w:sz w:val="22"/>
          <w:szCs w:val="22"/>
        </w:rPr>
        <w:t xml:space="preserve">Remediation steps are actionable by a non-technical user. Guidance references specific, affordable tools. Steps are prioritized by risk severity and implementation difficulty.</w:t>
      </w:r>
    </w:p>
    <w:p>
      <w:pPr>
        <w:pStyle w:val="Heading3"/>
      </w:pPr>
      <w:r>
        <w:t xml:space="preserve">5.2.5 Automated Document Generation</w:t>
      </w:r>
    </w:p>
    <w:p>
      <w:pPr>
        <w:spacing w:after="160" w:line="276"/>
      </w:pPr>
      <w:r>
        <w:rPr>
          <w:rFonts w:ascii="Arial" w:cs="Arial" w:eastAsia="Arial" w:hAnsi="Arial"/>
          <w:b/>
          <w:bCs/>
          <w:sz w:val="22"/>
          <w:szCs w:val="22"/>
        </w:rPr>
        <w:t xml:space="preserve">Description: </w:t>
      </w:r>
      <w:r>
        <w:rPr>
          <w:rFonts w:ascii="Arial" w:cs="Arial" w:eastAsia="Arial" w:hAnsi="Arial"/>
          <w:sz w:val="22"/>
          <w:szCs w:val="22"/>
        </w:rPr>
        <w:t xml:space="preserve">Auto-generates the critical compliance documents that C3PAO assessors require: System Security Plan (SSP), Plan of Action &amp; Milestones (POA&amp;M), and 8 core policy documents (Acceptable Use, Incident Response, Access Control, Configuration Management, Identification &amp; Authentication, Media Protection, Personnel Security, and System &amp; Communications Protection). All documents are pre-filled with the contractor’s information from the assessment.</w:t>
      </w:r>
    </w:p>
    <w:p>
      <w:pPr>
        <w:spacing w:after="160" w:line="276"/>
      </w:pPr>
      <w:r>
        <w:rPr>
          <w:rFonts w:ascii="Arial" w:cs="Arial" w:eastAsia="Arial" w:hAnsi="Arial"/>
          <w:b/>
          <w:bCs/>
          <w:sz w:val="22"/>
          <w:szCs w:val="22"/>
        </w:rPr>
        <w:t xml:space="preserve">Acceptance Criteria: </w:t>
      </w:r>
      <w:r>
        <w:rPr>
          <w:rFonts w:ascii="Arial" w:cs="Arial" w:eastAsia="Arial" w:hAnsi="Arial"/>
          <w:sz w:val="22"/>
          <w:szCs w:val="22"/>
        </w:rPr>
        <w:t xml:space="preserve">Documents conform to NIST formatting standards. SSP includes all required sections per NIST SP 800-171A assessment methodology. Documents are downloadable as .docx and .pdf. Documents are editable before final export.</w:t>
      </w:r>
    </w:p>
    <w:p>
      <w:r>
        <w:br w:type="page"/>
      </w:r>
    </w:p>
    <w:p>
      <w:pPr>
        <w:pStyle w:val="Heading1"/>
      </w:pPr>
      <w:r>
        <w:t xml:space="preserve">6. User Journey</w:t>
      </w:r>
    </w:p>
    <w:p>
      <w:pPr>
        <w:pStyle w:val="Heading2"/>
      </w:pPr>
      <w:r>
        <w:t xml:space="preserve">6.1 End-to-End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560"/>
        <w:gridCol w:w="3900"/>
        <w:gridCol w:w="3120"/>
      </w:tblGrid>
      <w:tr>
        <w:tc>
          <w:tcPr>
            <w:tcW w:type="dxa" w:w="7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3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User Action</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System Response</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Onboarding</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Creates account, enters company info (size, contract types, CUI handling)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Determines CMMC Level, creates personalized workspace</w:t>
            </w:r>
          </w:p>
        </w:tc>
      </w:tr>
      <w:tr>
        <w:tc>
          <w:tcPr>
            <w:tcW w:type="dxa" w:w="7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2</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Assessment</w:t>
            </w:r>
          </w:p>
        </w:tc>
        <w:tc>
          <w:tcPr>
            <w:tcW w:type="dxa" w:w="3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Answers plain-English questions for each of 110 controls</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Updates SPRS score in real-time, marks controls as Met/Partial/Unmet</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Gap Review</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Reviews compliance dashboard showing gaps by control family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Displays visual heat map, prioritized remediation roadmap</w:t>
            </w:r>
          </w:p>
        </w:tc>
      </w:tr>
      <w:tr>
        <w:tc>
          <w:tcPr>
            <w:tcW w:type="dxa" w:w="7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4</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Remediation</w:t>
            </w:r>
          </w:p>
        </w:tc>
        <w:tc>
          <w:tcPr>
            <w:tcW w:type="dxa" w:w="3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Follows AI-guided steps to implement each unmet control</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Provides tool-specific instructions, updates status on completion</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Documentation</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Reviews and customizes auto-generated SSP and policies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Generates audit-ready documents pre-filled with company data</w:t>
            </w:r>
          </w:p>
        </w:tc>
      </w:tr>
      <w:tr>
        <w:tc>
          <w:tcPr>
            <w:tcW w:type="dxa" w:w="7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6</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Audit Prep</w:t>
            </w:r>
          </w:p>
        </w:tc>
        <w:tc>
          <w:tcPr>
            <w:tcW w:type="dxa" w:w="3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Downloads complete compliance package for C3PAO assessment</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Produces evidence binder, assessment checklist, SPRS submission</w:t>
            </w:r>
          </w:p>
        </w:tc>
      </w:tr>
    </w:tbl>
    <w:p>
      <w:pPr>
        <w:spacing w:after="100"/>
      </w:pPr>
    </w:p>
    <w:p>
      <w:r>
        <w:br w:type="page"/>
      </w:r>
    </w:p>
    <w:p>
      <w:pPr>
        <w:pStyle w:val="Heading1"/>
      </w:pPr>
      <w:r>
        <w:t xml:space="preserve">7. Technical Architecture</w:t>
      </w:r>
    </w:p>
    <w:p>
      <w:pPr>
        <w:pStyle w:val="Heading2"/>
      </w:pPr>
      <w:r>
        <w:t xml:space="preserve">7.1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Rationale</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Cost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Next.js 14 / React 18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Matches Kaelus.ai stack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r>
      <w:tr>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UI Framework</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Tailwind CSS + shadcn/ui</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Rapid, professional UI</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Backend/Auth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(PostgreSQL + Auth)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tier, RLS security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$0–$25/mo</w:t>
            </w:r>
          </w:p>
        </w:tc>
      </w:tr>
      <w:tr>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AI Engine</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Claude API / OpenAI GPT-4o</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Superior reasoning for compliance</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Pay-per-use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Gen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docx-js + pdf-lib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Server-side doc generation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(OSS)</w:t>
            </w:r>
          </w:p>
        </w:tc>
      </w:tr>
      <w:tr>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Hosting</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Vercel</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Matches Kaelus.ai infra</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$0–$20/mo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Notifications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Resend (Email API)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tier: 3K emails/mo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$0–$20/mo</w:t>
            </w:r>
          </w:p>
        </w:tc>
      </w:tr>
      <w:tr>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Control Database</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Supabase PostgreSQL</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All 110 controls + metadata</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Included</w:t>
            </w:r>
          </w:p>
        </w:tc>
      </w:tr>
    </w:tbl>
    <w:p>
      <w:pPr>
        <w:spacing w:after="100"/>
      </w:pPr>
    </w:p>
    <w:p>
      <w:pPr>
        <w:pStyle w:val="Heading2"/>
      </w:pPr>
      <w:r>
        <w:t xml:space="preserve">7.2 Data Architecture</w:t>
      </w:r>
    </w:p>
    <w:p>
      <w:pPr>
        <w:spacing w:after="160" w:line="276"/>
      </w:pPr>
      <w:r>
        <w:rPr>
          <w:rFonts w:ascii="Arial" w:cs="Arial" w:eastAsia="Arial" w:hAnsi="Arial"/>
          <w:sz w:val="22"/>
          <w:szCs w:val="22"/>
        </w:rPr>
        <w:t xml:space="preserve">The control database stores all 110 NIST SP 800-171 Rev 2 controls with the following schema per control: Control ID (e.g., AC.1.001), Control Family (14 families), Official Description, Plain-English Translation, SPRS Point Value, Remediation Steps (structured JSON), Evidence Requirements, Policy Template Mapping, and Implementation Tool Recommendations.</w:t>
      </w:r>
    </w:p>
    <w:p>
      <w:pPr>
        <w:spacing w:after="160" w:line="276"/>
      </w:pPr>
      <w:r>
        <w:rPr>
          <w:rFonts w:ascii="Arial" w:cs="Arial" w:eastAsia="Arial" w:hAnsi="Arial"/>
          <w:sz w:val="22"/>
          <w:szCs w:val="22"/>
        </w:rPr>
        <w:t xml:space="preserve">User data is scoped per organization with Row Level Security (RLS) policies ensuring complete data isolation between tenants. All assessment responses, SPRS scores, and generated documents are encrypted at rest using AES-256.</w:t>
      </w:r>
    </w:p>
    <w:p>
      <w:pPr>
        <w:pStyle w:val="Heading2"/>
      </w:pPr>
      <w:r>
        <w:t xml:space="preserve">7.3 AI Architecture</w:t>
      </w:r>
    </w:p>
    <w:p>
      <w:pPr>
        <w:spacing w:after="160" w:line="276"/>
      </w:pPr>
      <w:r>
        <w:rPr>
          <w:rFonts w:ascii="Arial" w:cs="Arial" w:eastAsia="Arial" w:hAnsi="Arial"/>
          <w:sz w:val="22"/>
          <w:szCs w:val="22"/>
        </w:rPr>
        <w:t xml:space="preserve">The AI layer operates in three modes: (1) Assessment Companion — provides contextual explanations of each control in plain English based on the contractor’s business type; (2) Remediation Advisor — generates step-by-step implementation guidance tailored to the contractor’s existing tools and infrastructure; (3) Document Generator — produces policy documents and SSP sections using structured templates combined with LLM-powered content personalization.</w:t>
      </w:r>
    </w:p>
    <w:p>
      <w:pPr>
        <w:spacing w:after="160" w:line="276"/>
      </w:pPr>
      <w:r>
        <w:rPr>
          <w:rFonts w:ascii="Arial" w:cs="Arial" w:eastAsia="Arial" w:hAnsi="Arial"/>
          <w:sz w:val="22"/>
          <w:szCs w:val="22"/>
        </w:rPr>
        <w:t xml:space="preserve">All AI interactions use structured prompts with guardrails to ensure outputs align with NIST standards. The system never provides legal advice and always includes disclaimers that outputs should be reviewed before submission to assessors.</w:t>
      </w:r>
    </w:p>
    <w:p>
      <w:r>
        <w:br w:type="page"/>
      </w:r>
    </w:p>
    <w:p>
      <w:pPr>
        <w:pStyle w:val="Heading1"/>
      </w:pPr>
      <w:r>
        <w:t xml:space="preserve">8. Pricing Strategy &amp; Revenue Model</w:t>
      </w:r>
    </w:p>
    <w:p>
      <w:pPr>
        <w:pStyle w:val="Heading2"/>
      </w:pPr>
      <w:r>
        <w:t xml:space="preserve">8.1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248"/>
        <w:gridCol w:w="6240"/>
      </w:tblGrid>
      <w:tr>
        <w:tc>
          <w:tcPr>
            <w:tcW w:type="dxa" w:w="187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Tier</w:t>
            </w:r>
          </w:p>
        </w:tc>
        <w:tc>
          <w:tcPr>
            <w:tcW w:type="dxa" w:w="1248"/>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Price/Mo</w:t>
            </w:r>
          </w:p>
        </w:tc>
        <w:tc>
          <w:tcPr>
            <w:tcW w:type="dxa" w:w="62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Includes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Starter</w:t>
            </w:r>
          </w:p>
        </w:tc>
        <w:tc>
          <w:tcPr>
            <w:tcW w:type="dxa" w:w="1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$79</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CMMC Level Determination, Gap Assessment (110 controls), Live SPRS Score, Compliance Dashboard, Basic Remediation Guidance</w:t>
            </w:r>
          </w:p>
        </w:tc>
      </w:tr>
      <w:tr>
        <w:tc>
          <w:tcPr>
            <w:tcW w:type="dxa" w:w="1872"/>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Professional</w:t>
            </w:r>
          </w:p>
        </w:tc>
        <w:tc>
          <w:tcPr>
            <w:tcW w:type="dxa" w:w="1248"/>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$149</w:t>
            </w:r>
          </w:p>
        </w:tc>
        <w:tc>
          <w:tcPr>
            <w:tcW w:type="dxa" w:w="62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Everything in Starter + AI-Powered Remediation, Auto-Generated SSP, 8 Policy Documents, POA&amp;M Tracker, Evidence Templates, Email Alerts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Enterprise</w:t>
            </w:r>
          </w:p>
        </w:tc>
        <w:tc>
          <w:tcPr>
            <w:tcW w:type="dxa" w:w="1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$299</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Everything in Professional + Mock Assessment Scoring, Board-Ready Reports, Priority Support, Document Review by CMMC Experts (add-on), Multi-User Access</w:t>
            </w:r>
          </w:p>
        </w:tc>
      </w:tr>
      <w:tr>
        <w:tc>
          <w:tcPr>
            <w:tcW w:type="dxa" w:w="1872"/>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Consultant</w:t>
            </w:r>
          </w:p>
        </w:tc>
        <w:tc>
          <w:tcPr>
            <w:tcW w:type="dxa" w:w="1248"/>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$499</w:t>
            </w:r>
          </w:p>
        </w:tc>
        <w:tc>
          <w:tcPr>
            <w:tcW w:type="dxa" w:w="62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Multi-Client Dashboard (up to 20 clients), White-Label Reports, Bulk Assessment Tools, Client Progress Tracking, Custom Branding</w:t>
            </w:r>
          </w:p>
        </w:tc>
      </w:tr>
    </w:tbl>
    <w:p>
      <w:pPr>
        <w:spacing w:after="100"/>
      </w:pPr>
    </w:p>
    <w:p>
      <w:pPr>
        <w:pStyle w:val="Heading2"/>
      </w:pPr>
      <w:r>
        <w:t xml:space="preserve">8.2 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Milestone</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Timeline</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Customers</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 MRR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Proof of Concept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Months 1–6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20–65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$1,580–$9,685</w:t>
            </w:r>
          </w:p>
        </w:tc>
      </w:tr>
      <w:tr>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Growth Phase</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Months 6–18</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100–350</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$14,900–$50,000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Scale Phase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Year 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200–500+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$40,000–$100,000+</w:t>
            </w:r>
          </w:p>
        </w:tc>
      </w:tr>
      <w:tr>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ARR Target (Y2)</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Month 24</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300+ avg</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$480K–$1.2M ARR</w:t>
            </w:r>
          </w:p>
        </w:tc>
      </w:tr>
    </w:tbl>
    <w:p>
      <w:pPr>
        <w:spacing w:after="100"/>
      </w:pPr>
    </w:p>
    <w:p>
      <w:pPr>
        <w:pStyle w:val="Heading2"/>
      </w:pPr>
      <w:r>
        <w:t xml:space="preserve">8.3 Additional Revenue Streams</w:t>
      </w:r>
    </w:p>
    <w:p>
      <w:pPr>
        <w:spacing w:after="160" w:line="276"/>
      </w:pPr>
      <w:r>
        <w:rPr>
          <w:rFonts w:ascii="Arial" w:cs="Arial" w:eastAsia="Arial" w:hAnsi="Arial"/>
          <w:b/>
          <w:bCs/>
          <w:sz w:val="22"/>
          <w:szCs w:val="22"/>
        </w:rPr>
        <w:t xml:space="preserve">SBIR Grants: </w:t>
      </w:r>
      <w:r>
        <w:rPr>
          <w:rFonts w:ascii="Arial" w:cs="Arial" w:eastAsia="Arial" w:hAnsi="Arial"/>
          <w:sz w:val="22"/>
          <w:szCs w:val="22"/>
        </w:rPr>
        <w:t xml:space="preserve">Apply for DoD/Army SBIR Phase I funding ($50K–$275K) under AI/ML and cybersecurity topics. Multiple active solicitations align with CMMC compliance tooling.</w:t>
      </w:r>
    </w:p>
    <w:p>
      <w:pPr>
        <w:spacing w:after="160" w:line="276"/>
      </w:pPr>
      <w:r>
        <w:rPr>
          <w:rFonts w:ascii="Arial" w:cs="Arial" w:eastAsia="Arial" w:hAnsi="Arial"/>
          <w:b/>
          <w:bCs/>
          <w:sz w:val="22"/>
          <w:szCs w:val="22"/>
        </w:rPr>
        <w:t xml:space="preserve">RPO Partnerships: </w:t>
      </w:r>
      <w:r>
        <w:rPr>
          <w:rFonts w:ascii="Arial" w:cs="Arial" w:eastAsia="Arial" w:hAnsi="Arial"/>
          <w:sz w:val="22"/>
          <w:szCs w:val="22"/>
        </w:rPr>
        <w:t xml:space="preserve">Partner with CMMC Registered Practitioner Organizations who can white-label or refer clients for revenue sharing.</w:t>
      </w:r>
    </w:p>
    <w:p>
      <w:pPr>
        <w:spacing w:after="160" w:line="276"/>
      </w:pPr>
      <w:r>
        <w:rPr>
          <w:rFonts w:ascii="Arial" w:cs="Arial" w:eastAsia="Arial" w:hAnsi="Arial"/>
          <w:b/>
          <w:bCs/>
          <w:sz w:val="22"/>
          <w:szCs w:val="22"/>
        </w:rPr>
        <w:t xml:space="preserve">Document Review Add-on: </w:t>
      </w:r>
      <w:r>
        <w:rPr>
          <w:rFonts w:ascii="Arial" w:cs="Arial" w:eastAsia="Arial" w:hAnsi="Arial"/>
          <w:sz w:val="22"/>
          <w:szCs w:val="22"/>
        </w:rPr>
        <w:t xml:space="preserve">Premium service where CMMC experts review generated SSP and policy documents ($500–$2,000 per review).</w:t>
      </w:r>
    </w:p>
    <w:p>
      <w:r>
        <w:br w:type="page"/>
      </w:r>
    </w:p>
    <w:p>
      <w:pPr>
        <w:pStyle w:val="Heading1"/>
      </w:pPr>
      <w:r>
        <w:t xml:space="preserve">9. Go-to-Market Strategy</w:t>
      </w:r>
    </w:p>
    <w:p>
      <w:pPr>
        <w:pStyle w:val="Heading2"/>
      </w:pPr>
      <w:r>
        <w:t xml:space="preserve">9.1 Launch Strategy (Months 1–3)</w:t>
      </w:r>
    </w:p>
    <w:p>
      <w:pPr>
        <w:spacing w:after="160" w:line="276"/>
      </w:pPr>
      <w:r>
        <w:rPr>
          <w:rFonts w:ascii="Arial" w:cs="Arial" w:eastAsia="Arial" w:hAnsi="Arial"/>
          <w:b/>
          <w:bCs/>
          <w:sz w:val="22"/>
          <w:szCs w:val="22"/>
        </w:rPr>
        <w:t xml:space="preserve">Community-First Approach: </w:t>
      </w:r>
      <w:r>
        <w:rPr>
          <w:rFonts w:ascii="Arial" w:cs="Arial" w:eastAsia="Arial" w:hAnsi="Arial"/>
          <w:sz w:val="22"/>
          <w:szCs w:val="22"/>
        </w:rPr>
        <w:t xml:space="preserve">The Defense Industrial Base is concentrated in identifiable online and offline communities. Initial traction comes from organic engagement, not paid advertising.</w:t>
      </w:r>
    </w:p>
    <w:p>
      <w:pPr>
        <w:pStyle w:val="Heading3"/>
      </w:pPr>
      <w:r>
        <w:t xml:space="preserve">Channel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Channel</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Expected Outcome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Reddit r/CMMC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Offer free SPRS assessments, share compliance insights, engage in discussions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20–50 beta signups</w:t>
            </w:r>
          </w:p>
        </w:tc>
      </w:tr>
      <w:tr>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Cyber-AB Forums</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Post tool listing on CMMC COA Marketplace, engage with RP community</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10–20 consultant leads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SAM.gov Outreach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Identify small businesses with active DoD contracts &lt;$500K, email directly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5–15 direct leads</w:t>
            </w:r>
          </w:p>
        </w:tc>
      </w:tr>
      <w:tr>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NDIA Chapters</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Attend virtual chapter meetings, offer live demos</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10–25 qualified leads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SCORE/SBA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Partner with local chapters that serve defense contractors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5–10 referrals/month</w:t>
            </w:r>
          </w:p>
        </w:tc>
      </w:tr>
    </w:tbl>
    <w:p>
      <w:pPr>
        <w:spacing w:after="100"/>
      </w:pPr>
    </w:p>
    <w:p>
      <w:pPr>
        <w:pStyle w:val="Heading2"/>
      </w:pPr>
      <w:r>
        <w:t xml:space="preserve">9.2 Growth Strategy (Months 3–12)</w:t>
      </w:r>
    </w:p>
    <w:p>
      <w:pPr>
        <w:spacing w:after="160" w:line="276"/>
      </w:pPr>
      <w:r>
        <w:rPr>
          <w:rFonts w:ascii="Arial" w:cs="Arial" w:eastAsia="Arial" w:hAnsi="Arial"/>
          <w:b/>
          <w:bCs/>
          <w:sz w:val="22"/>
          <w:szCs w:val="22"/>
        </w:rPr>
        <w:t xml:space="preserve">Content Marketing: </w:t>
      </w:r>
      <w:r>
        <w:rPr>
          <w:rFonts w:ascii="Arial" w:cs="Arial" w:eastAsia="Arial" w:hAnsi="Arial"/>
          <w:sz w:val="22"/>
          <w:szCs w:val="22"/>
        </w:rPr>
        <w:t xml:space="preserve">Publish weekly CMMC compliance guides, control-by-control breakdowns, and SPRS scoring tutorials. SEO-optimized for search terms like “affordable CMMC compliance”, “CMMC Level 2 for small business”, and “NIST 800-171 self-assessment.”</w:t>
      </w:r>
    </w:p>
    <w:p>
      <w:pPr>
        <w:spacing w:after="160" w:line="276"/>
      </w:pPr>
      <w:r>
        <w:rPr>
          <w:rFonts w:ascii="Arial" w:cs="Arial" w:eastAsia="Arial" w:hAnsi="Arial"/>
          <w:b/>
          <w:bCs/>
          <w:sz w:val="22"/>
          <w:szCs w:val="22"/>
        </w:rPr>
        <w:t xml:space="preserve">RPO Channel: </w:t>
      </w:r>
      <w:r>
        <w:rPr>
          <w:rFonts w:ascii="Arial" w:cs="Arial" w:eastAsia="Arial" w:hAnsi="Arial"/>
          <w:sz w:val="22"/>
          <w:szCs w:val="22"/>
        </w:rPr>
        <w:t xml:space="preserve">Partner with CMMC Registered Practitioner Organizations who can use ShieldReady as their assessment and documentation platform, paying a per-client license fee.</w:t>
      </w:r>
    </w:p>
    <w:p>
      <w:pPr>
        <w:spacing w:after="160" w:line="276"/>
      </w:pPr>
      <w:r>
        <w:rPr>
          <w:rFonts w:ascii="Arial" w:cs="Arial" w:eastAsia="Arial" w:hAnsi="Arial"/>
          <w:b/>
          <w:bCs/>
          <w:sz w:val="22"/>
          <w:szCs w:val="22"/>
        </w:rPr>
        <w:t xml:space="preserve">Prime Contractor Referrals: </w:t>
      </w:r>
      <w:r>
        <w:rPr>
          <w:rFonts w:ascii="Arial" w:cs="Arial" w:eastAsia="Arial" w:hAnsi="Arial"/>
          <w:sz w:val="22"/>
          <w:szCs w:val="22"/>
        </w:rPr>
        <w:t xml:space="preserve">Approach prime contractors who need their subcontractor supply chain compliant. Offer a “Supply Chain Compliance Package” where the prime purchases licenses for their subs.</w:t>
      </w:r>
    </w:p>
    <w:p>
      <w:pPr>
        <w:spacing w:after="160" w:line="276"/>
      </w:pPr>
      <w:r>
        <w:rPr>
          <w:rFonts w:ascii="Arial" w:cs="Arial" w:eastAsia="Arial" w:hAnsi="Arial"/>
          <w:b/>
          <w:bCs/>
          <w:sz w:val="22"/>
          <w:szCs w:val="22"/>
        </w:rPr>
        <w:t xml:space="preserve">SBIR Applications: </w:t>
      </w:r>
      <w:r>
        <w:rPr>
          <w:rFonts w:ascii="Arial" w:cs="Arial" w:eastAsia="Arial" w:hAnsi="Arial"/>
          <w:sz w:val="22"/>
          <w:szCs w:val="22"/>
        </w:rPr>
        <w:t xml:space="preserve">Submit SBIR Phase I proposals to Army AI/ML Open Topic and DoD cybersecurity SBIR topics. Government grants provide $50K–$275K in non-dilutive funding plus validation.</w:t>
      </w:r>
    </w:p>
    <w:p>
      <w:r>
        <w:br w:type="page"/>
      </w:r>
    </w:p>
    <w:p>
      <w:pPr>
        <w:pStyle w:val="Heading1"/>
      </w:pPr>
      <w:r>
        <w:t xml:space="preserve">10.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Timeline</w:t>
            </w:r>
          </w:p>
        </w:tc>
        <w:tc>
          <w:tcPr>
            <w:tcW w:type="dxa" w:w="54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1–2</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Study NIST SP 800-171 Rev 2 and CMMC Assessment Guide. Build 110-control database with plain-English translations, SPRS values, remediation steps, and evidence requirements.</w:t>
            </w:r>
          </w:p>
        </w:tc>
      </w:tr>
      <w:tr>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Prototype</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Weeks 3–4</w:t>
            </w:r>
          </w:p>
        </w:tc>
        <w:tc>
          <w:tcPr>
            <w:tcW w:type="dxa" w:w="5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Build web app with user registration, CMMC level wizard, questionnaire for 10 high-priority controls, and SPRS score display.</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MVP Build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5–8</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all 110 controls. Integrate AI for plain-English guidance. Build SSP document generator. Implement compliance dashboard with visual heat map.</w:t>
            </w:r>
          </w:p>
        </w:tc>
      </w:tr>
      <w:tr>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Beta Test</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Weeks 9–10</w:t>
            </w:r>
          </w:p>
        </w:tc>
        <w:tc>
          <w:tcPr>
            <w:tcW w:type="dxa" w:w="5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Recruit 5 beta testers from r/CMMC and CMMC COA community. Iterate based on feedback. Fix critical usability issues.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Launch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11–12</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Launch at $79/month. Activate community outreach. Contact 50 small defense contractors via SAM.gov listings. Begin content marketing.</w:t>
            </w:r>
          </w:p>
        </w:tc>
      </w:tr>
      <w:tr>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V1.1</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Months 4–6</w:t>
            </w:r>
          </w:p>
        </w:tc>
        <w:tc>
          <w:tcPr>
            <w:tcW w:type="dxa" w:w="5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Add POA&amp;M tracker, deadline alerts, evidence collection templates, and policy document generator for all 8 core policies.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Months 6–9</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Launch Consultant tier with multi-client dashboard. Begin RPO partnerships. Apply for SBIR Phase I.</w:t>
            </w:r>
          </w:p>
        </w:tc>
      </w:tr>
      <w:tr>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V2.0</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Months 9–12</w:t>
            </w:r>
          </w:p>
        </w:tc>
        <w:tc>
          <w:tcPr>
            <w:tcW w:type="dxa" w:w="5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Mock assessment scoring engine. Board-ready reports. Supply chain compliance package for primes. Target $15K+ MRR and 100+ customers.</w:t>
            </w:r>
          </w:p>
        </w:tc>
      </w:tr>
    </w:tbl>
    <w:p>
      <w:pPr>
        <w:spacing w:after="100"/>
      </w:pPr>
    </w:p>
    <w:p>
      <w:r>
        <w:br w:type="page"/>
      </w:r>
    </w:p>
    <w:p>
      <w:pPr>
        <w:pStyle w:val="Heading1"/>
      </w:pPr>
      <w:r>
        <w:t xml:space="preserve">11. Competitive Moat &amp; Defensibility</w:t>
      </w:r>
    </w:p>
    <w:p>
      <w:pPr>
        <w:pStyle w:val="Heading2"/>
      </w:pPr>
      <w:r>
        <w:t xml:space="preserve">11.1 Four-Layer Moat Strategy</w:t>
      </w:r>
    </w:p>
    <w:p>
      <w:pPr>
        <w:spacing w:after="160" w:line="276"/>
      </w:pPr>
      <w:r>
        <w:rPr>
          <w:rFonts w:ascii="Arial" w:cs="Arial" w:eastAsia="Arial" w:hAnsi="Arial"/>
          <w:b/>
          <w:bCs/>
          <w:sz w:val="22"/>
          <w:szCs w:val="22"/>
        </w:rPr>
        <w:t xml:space="preserve">1. Regulatory Complexity Moat: </w:t>
      </w:r>
      <w:r>
        <w:rPr>
          <w:rFonts w:ascii="Arial" w:cs="Arial" w:eastAsia="Arial" w:hAnsi="Arial"/>
          <w:sz w:val="22"/>
          <w:szCs w:val="22"/>
        </w:rPr>
        <w:t xml:space="preserve">CMMC controls, scoring algorithms, and assessment procedures are publicly available but intricate enough that building a genuinely useful tool requires deep understanding of how C3PAO assessors evaluate evidence. This creates a 3–6 month head start for any new entrant attempting to replicate the depth of guidance.</w:t>
      </w:r>
    </w:p>
    <w:p>
      <w:pPr>
        <w:spacing w:after="160" w:line="276"/>
      </w:pPr>
      <w:r>
        <w:rPr>
          <w:rFonts w:ascii="Arial" w:cs="Arial" w:eastAsia="Arial" w:hAnsi="Arial"/>
          <w:b/>
          <w:bCs/>
          <w:sz w:val="22"/>
          <w:szCs w:val="22"/>
        </w:rPr>
        <w:t xml:space="preserve">2. Template &amp; Content Library: </w:t>
      </w:r>
      <w:r>
        <w:rPr>
          <w:rFonts w:ascii="Arial" w:cs="Arial" w:eastAsia="Arial" w:hAnsi="Arial"/>
          <w:sz w:val="22"/>
          <w:szCs w:val="22"/>
        </w:rPr>
        <w:t xml:space="preserve">As the platform accumulates compliant policy documents, remediation playbooks, and evidence templates across dozens of contractor types (machine shops, IT services, engineering firms), this library becomes increasingly valuable and impossible to replicate without equivalent customer diversity.</w:t>
      </w:r>
    </w:p>
    <w:p>
      <w:pPr>
        <w:spacing w:after="160" w:line="276"/>
      </w:pPr>
      <w:r>
        <w:rPr>
          <w:rFonts w:ascii="Arial" w:cs="Arial" w:eastAsia="Arial" w:hAnsi="Arial"/>
          <w:b/>
          <w:bCs/>
          <w:sz w:val="22"/>
          <w:szCs w:val="22"/>
        </w:rPr>
        <w:t xml:space="preserve">3. Community Network Effect: </w:t>
      </w:r>
      <w:r>
        <w:rPr>
          <w:rFonts w:ascii="Arial" w:cs="Arial" w:eastAsia="Arial" w:hAnsi="Arial"/>
          <w:sz w:val="22"/>
          <w:szCs w:val="22"/>
        </w:rPr>
        <w:t xml:space="preserve">Defense contractors operate in a trust-based supply chain. When a prime contractor recommends ShieldReady to their subcontractors (who are mandated to be CMMC-compliant), adoption creates a self-reinforcing recommendation loop. Each new user in the supply chain increases the platform’s value for all participants.</w:t>
      </w:r>
    </w:p>
    <w:p>
      <w:pPr>
        <w:spacing w:after="160" w:line="276"/>
      </w:pPr>
      <w:r>
        <w:rPr>
          <w:rFonts w:ascii="Arial" w:cs="Arial" w:eastAsia="Arial" w:hAnsi="Arial"/>
          <w:b/>
          <w:bCs/>
          <w:sz w:val="22"/>
          <w:szCs w:val="22"/>
        </w:rPr>
        <w:t xml:space="preserve">4. Compliance Data Advantage: </w:t>
      </w:r>
      <w:r>
        <w:rPr>
          <w:rFonts w:ascii="Arial" w:cs="Arial" w:eastAsia="Arial" w:hAnsi="Arial"/>
          <w:sz w:val="22"/>
          <w:szCs w:val="22"/>
        </w:rPr>
        <w:t xml:space="preserve">Over time, the platform accumulates anonymized data on which controls are hardest to implement, which remediation steps work best, and what assessment outcomes look like across different company types. This data powers increasingly accurate, data-driven guidance that new entrants cannot match without equivalent user history.</w:t>
      </w:r>
    </w:p>
    <w:p>
      <w:r>
        <w:br w:type="page"/>
      </w:r>
    </w:p>
    <w:p>
      <w:pPr>
        <w:pStyle w:val="Heading1"/>
      </w:pPr>
      <w:r>
        <w:t xml:space="preserve">12.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200"/>
        <w:gridCol w:w="2340"/>
        <w:gridCol w:w="348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Severity</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Likelihood</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CMMC enforcement delayed/weakened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(Final Rule published)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 already active. Position platform for NIST 800-171 compliance regardless of CMMC branding.</w:t>
            </w:r>
          </w:p>
        </w:tc>
      </w:tr>
      <w:tr>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Enterprise competitor enters low-price market</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Medium</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Medium</w:t>
            </w:r>
          </w:p>
        </w:tc>
        <w:tc>
          <w:tcPr>
            <w:tcW w:type="dxa" w:w="34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Move fast. Build community moat and template library before incumbents react. Price leadership creates switching cost.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hallucination in compliance guidance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AI outputs validated against NIST source database. Human review layer for SSP and policy documents. Clear disclaimers on all generated content.</w:t>
            </w:r>
          </w:p>
        </w:tc>
      </w:tr>
      <w:tr>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Low conversion rate from free tools</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Medium</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Medium</w:t>
            </w:r>
          </w:p>
        </w:tc>
        <w:tc>
          <w:tcPr>
            <w:tcW w:type="dxa" w:w="34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Lead with free SPRS calculator as top-of-funnel. Demonstrate value gap between free score and full remediation platform.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Limited C3PAO acceptance of generated docs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Partner with C3PAO assessors during beta to validate document formats. Align with NIST SP 800-171A assessment methodology.</w:t>
            </w:r>
          </w:p>
        </w:tc>
      </w:tr>
      <w:tr>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Data security breach</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Critical</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Low</w:t>
            </w:r>
          </w:p>
        </w:tc>
        <w:tc>
          <w:tcPr>
            <w:tcW w:type="dxa" w:w="34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AES-256 encryption at rest. Supabase RLS. SOC 2 Type II compliance for platform itself. No CUI stored — only assessment responses.</w:t>
            </w:r>
          </w:p>
        </w:tc>
      </w:tr>
    </w:tbl>
    <w:p>
      <w:pPr>
        <w:spacing w:after="100"/>
      </w:pPr>
    </w:p>
    <w:p>
      <w:r>
        <w:br w:type="page"/>
      </w:r>
    </w:p>
    <w:p>
      <w:pPr>
        <w:pStyle w:val="Heading1"/>
      </w:pPr>
      <w:r>
        <w:t xml:space="preserve">13. Success Metrics &amp;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KPI</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 3 Target</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 6 Target</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 12 Target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Registered Users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2,000</w:t>
            </w:r>
          </w:p>
        </w:tc>
      </w:tr>
      <w:tr>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Paying Customers</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10</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50</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200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MRR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$30,000</w:t>
            </w:r>
          </w:p>
        </w:tc>
      </w:tr>
      <w:tr>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Churn Rate</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&lt;10%</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&lt;7%</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&lt;5%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Assessments Completed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1,500</w:t>
            </w:r>
          </w:p>
        </w:tc>
      </w:tr>
      <w:tr>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SSP Documents Generated</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10</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75</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400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NPS Score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&gt;40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&gt;60</w:t>
            </w:r>
          </w:p>
        </w:tc>
      </w:tr>
      <w:tr>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SBIR Applications</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0</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2</w:t>
            </w:r>
          </w:p>
        </w:tc>
      </w:tr>
    </w:tbl>
    <w:p>
      <w:pPr>
        <w:spacing w:after="100"/>
      </w:pPr>
    </w:p>
    <w:p>
      <w:r>
        <w:br w:type="page"/>
      </w:r>
    </w:p>
    <w:p>
      <w:pPr>
        <w:pStyle w:val="Heading1"/>
      </w:pPr>
      <w:r>
        <w:t xml:space="preserve">14. Legal &amp; Compliance Considerations</w:t>
      </w:r>
    </w:p>
    <w:p>
      <w:pPr>
        <w:spacing w:after="160" w:line="276"/>
      </w:pPr>
      <w:r>
        <w:rPr>
          <w:rFonts w:ascii="Arial" w:cs="Arial" w:eastAsia="Arial" w:hAnsi="Arial"/>
          <w:b/>
          <w:bCs/>
          <w:sz w:val="22"/>
          <w:szCs w:val="22"/>
        </w:rPr>
        <w:t xml:space="preserve">No CUI Storage: </w:t>
      </w:r>
      <w:r>
        <w:rPr>
          <w:rFonts w:ascii="Arial" w:cs="Arial" w:eastAsia="Arial" w:hAnsi="Arial"/>
          <w:sz w:val="22"/>
          <w:szCs w:val="22"/>
        </w:rPr>
        <w:t xml:space="preserve">The platform does not store, process, or transmit Controlled Unclassified Information. It only stores assessment responses (yes/no/partial answers to control questions) and generates policy documents. This eliminates the need for FedRAMP authorization or CUI handling infrastructure.</w:t>
      </w:r>
    </w:p>
    <w:p>
      <w:pPr>
        <w:spacing w:after="160" w:line="276"/>
      </w:pPr>
      <w:r>
        <w:rPr>
          <w:rFonts w:ascii="Arial" w:cs="Arial" w:eastAsia="Arial" w:hAnsi="Arial"/>
          <w:b/>
          <w:bCs/>
          <w:sz w:val="22"/>
          <w:szCs w:val="22"/>
        </w:rPr>
        <w:t xml:space="preserve">Not Legal or Cybersecurity Advice: </w:t>
      </w:r>
      <w:r>
        <w:rPr>
          <w:rFonts w:ascii="Arial" w:cs="Arial" w:eastAsia="Arial" w:hAnsi="Arial"/>
          <w:sz w:val="22"/>
          <w:szCs w:val="22"/>
        </w:rPr>
        <w:t xml:space="preserve">All generated content includes clear disclaimers that ShieldReady provides educational compliance guidance and document templates, not professional cybersecurity consulting or legal advice. Users are advised to have documents reviewed by qualified professionals before submission.</w:t>
      </w:r>
    </w:p>
    <w:p>
      <w:pPr>
        <w:spacing w:after="160" w:line="276"/>
      </w:pPr>
      <w:r>
        <w:rPr>
          <w:rFonts w:ascii="Arial" w:cs="Arial" w:eastAsia="Arial" w:hAnsi="Arial"/>
          <w:b/>
          <w:bCs/>
          <w:sz w:val="22"/>
          <w:szCs w:val="22"/>
        </w:rPr>
        <w:t xml:space="preserve">NIST Content Usage: </w:t>
      </w:r>
      <w:r>
        <w:rPr>
          <w:rFonts w:ascii="Arial" w:cs="Arial" w:eastAsia="Arial" w:hAnsi="Arial"/>
          <w:sz w:val="22"/>
          <w:szCs w:val="22"/>
        </w:rPr>
        <w:t xml:space="preserve">All NIST SP 800-171 control descriptions, SPRS scoring methodology, and assessment procedures are publicly available government publications and are not subject to copyright restrictions.</w:t>
      </w:r>
    </w:p>
    <w:p>
      <w:pPr>
        <w:spacing w:after="160" w:line="276"/>
      </w:pPr>
      <w:r>
        <w:rPr>
          <w:rFonts w:ascii="Arial" w:cs="Arial" w:eastAsia="Arial" w:hAnsi="Arial"/>
          <w:b/>
          <w:bCs/>
          <w:sz w:val="22"/>
          <w:szCs w:val="22"/>
        </w:rPr>
        <w:t xml:space="preserve">Data Protection: </w:t>
      </w:r>
      <w:r>
        <w:rPr>
          <w:rFonts w:ascii="Arial" w:cs="Arial" w:eastAsia="Arial" w:hAnsi="Arial"/>
          <w:sz w:val="22"/>
          <w:szCs w:val="22"/>
        </w:rPr>
        <w:t xml:space="preserve">User data is encrypted at rest (AES-256) and in transit (TLS 1.3). Supabase Row Level Security ensures complete tenant isolation. The platform will pursue SOC 2 Type II certification by Month 12.</w:t>
      </w:r>
    </w:p>
    <w:p>
      <w:pPr>
        <w:spacing w:after="200"/>
      </w:pPr>
    </w:p>
    <w:p>
      <w:pPr>
        <w:pStyle w:val="Heading1"/>
      </w:pPr>
      <w:r>
        <w:t xml:space="preserve">15. Appendix</w:t>
      </w:r>
    </w:p>
    <w:p>
      <w:pPr>
        <w:pStyle w:val="Heading2"/>
      </w:pPr>
      <w:r>
        <w:t xml:space="preserve">15.1 NIST SP 800-171 Control Families</w:t>
      </w:r>
    </w:p>
    <w:p>
      <w:pPr>
        <w:spacing w:after="160" w:line="276"/>
      </w:pPr>
      <w:r>
        <w:rPr>
          <w:rFonts w:ascii="Arial" w:cs="Arial" w:eastAsia="Arial" w:hAnsi="Arial"/>
          <w:sz w:val="22"/>
          <w:szCs w:val="22"/>
        </w:rPr>
        <w:t xml:space="preserve">The 110 controls are organized across 14 families: Access Control (AC) — 22 controls, Awareness &amp; Training (AT) — 3 controls, Audit &amp; Accountability (AU) — 9 controls, Configuration Management (CM) — 9 controls, Identification &amp; Authentication (IA) — 11 controls, Incident Response (IR) — 3 controls, Maintenance (MA) — 6 controls, Media Protection (MP) — 9 controls, Personnel Security (PS) — 2 controls, Physical Protection (PE) — 6 controls, Risk Assessment (RA) — 3 controls, Security Assessment (CA) — 4 controls, System &amp; Communications Protection (SC) — 16 controls, and System &amp; Information Integrity (SI) — 7 controls.</w:t>
      </w:r>
    </w:p>
    <w:p>
      <w:pPr>
        <w:pStyle w:val="Heading2"/>
      </w:pPr>
      <w:r>
        <w:t xml:space="preserve">15.2 Key References</w:t>
      </w:r>
    </w:p>
    <w:p>
      <w:pPr>
        <w:spacing w:after="160" w:line="276"/>
      </w:pPr>
      <w:r>
        <w:rPr>
          <w:rFonts w:ascii="Arial" w:cs="Arial" w:eastAsia="Arial" w:hAnsi="Arial"/>
          <w:sz w:val="22"/>
          <w:szCs w:val="22"/>
        </w:rPr>
        <w:t xml:space="preserve">NIST SP 800-171 Rev 2: https://csrc.nist.gov/publications/detail/sp/800-171/rev-2/final</w:t>
      </w:r>
    </w:p>
    <w:p>
      <w:pPr>
        <w:spacing w:after="160" w:line="276"/>
      </w:pPr>
      <w:r>
        <w:rPr>
          <w:rFonts w:ascii="Arial" w:cs="Arial" w:eastAsia="Arial" w:hAnsi="Arial"/>
          <w:sz w:val="22"/>
          <w:szCs w:val="22"/>
        </w:rPr>
        <w:t xml:space="preserve">CMMC Assessment Guide: https://cyberab.org/</w:t>
      </w:r>
    </w:p>
    <w:p>
      <w:pPr>
        <w:spacing w:after="160" w:line="276"/>
      </w:pPr>
      <w:r>
        <w:rPr>
          <w:rFonts w:ascii="Arial" w:cs="Arial" w:eastAsia="Arial" w:hAnsi="Arial"/>
          <w:sz w:val="22"/>
          <w:szCs w:val="22"/>
        </w:rPr>
        <w:t xml:space="preserve">SPRS Scoring Methodology: https://www.sprs.csd.disa.mil/</w:t>
      </w:r>
    </w:p>
    <w:p>
      <w:pPr>
        <w:spacing w:after="160" w:line="276"/>
      </w:pPr>
      <w:r>
        <w:rPr>
          <w:rFonts w:ascii="Arial" w:cs="Arial" w:eastAsia="Arial" w:hAnsi="Arial"/>
          <w:sz w:val="22"/>
          <w:szCs w:val="22"/>
        </w:rPr>
        <w:t xml:space="preserve">CMMC 2.0 Final Rule (32 CFR Part 170): Federal Register, December 2024</w:t>
      </w:r>
    </w:p>
    <w:p>
      <w:pPr>
        <w:spacing w:after="160" w:line="276"/>
      </w:pPr>
      <w:r>
        <w:rPr>
          <w:rFonts w:ascii="Arial" w:cs="Arial" w:eastAsia="Arial" w:hAnsi="Arial"/>
          <w:sz w:val="22"/>
          <w:szCs w:val="22"/>
        </w:rPr>
        <w:t xml:space="preserve">DoD SBIR Portal: https://www.sbir.gov/</w:t>
      </w:r>
    </w:p>
    <w:p>
      <w:pPr>
        <w:spacing w:after="160" w:line="276"/>
      </w:pPr>
      <w:r>
        <w:rPr>
          <w:rFonts w:ascii="Arial" w:cs="Arial" w:eastAsia="Arial" w:hAnsi="Arial"/>
          <w:sz w:val="22"/>
          <w:szCs w:val="22"/>
        </w:rPr>
        <w:t xml:space="preserve">SAM.gov Entity Search: https://sam.gov/</w:t>
      </w:r>
    </w:p>
    <w:p>
      <w:pPr>
        <w:pStyle w:val="Heading2"/>
      </w:pPr>
      <w:r>
        <w:t xml:space="preserve">15.3 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560"/>
        <w:gridCol w:w="2808"/>
        <w:gridCol w:w="3120"/>
      </w:tblGrid>
      <w:tr>
        <w:tc>
          <w:tcPr>
            <w:tcW w:type="dxa" w:w="187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Version</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Date</w:t>
            </w:r>
          </w:p>
        </w:tc>
        <w:tc>
          <w:tcPr>
            <w:tcW w:type="dxa" w:w="2808"/>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Author</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Changes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10, 2026</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Kaelus.ai Product Team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PRD creation</w:t>
            </w:r>
          </w:p>
        </w:tc>
      </w:tr>
    </w:tbl>
    <w:p>
      <w:pPr>
        <w:spacing w:after="400"/>
      </w:pPr>
    </w:p>
    <w:p>
      <w:pPr>
        <w:pBdr>
          <w:top w:val="single" w:color="2E75B6" w:sz="6" w:space="8"/>
        </w:pBdr>
        <w:spacing w:before="400"/>
        <w:jc w:val="center"/>
      </w:pPr>
      <w:r>
        <w:rPr>
          <w:rFonts w:ascii="Arial" w:cs="Arial" w:eastAsia="Arial" w:hAnsi="Arial"/>
          <w:i/>
          <w:iCs/>
          <w:color w:val="999999"/>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Kaelus.ai — ShieldReady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2026-03-10T04:47:22.054Z</dcterms:created>
  <dcterms:modified xsi:type="dcterms:W3CDTF">2026-03-10T04:47:22.054Z</dcterms:modified>
</cp:coreProperties>
</file>

<file path=docProps/custom.xml><?xml version="1.0" encoding="utf-8"?>
<Properties xmlns="http://schemas.openxmlformats.org/officeDocument/2006/custom-properties" xmlns:vt="http://schemas.openxmlformats.org/officeDocument/2006/docPropsVTypes"/>
</file>