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ptos" w:hAnsi="Aptos"/>
          <w:b/>
          <w:sz w:val="44"/>
        </w:rPr>
        <w:t>Technical Architecture and Server Recommendation</w:t>
      </w:r>
    </w:p>
    <w:p>
      <w:pPr>
        <w:spacing w:after="240"/>
      </w:pPr>
      <w:r>
        <w:rPr>
          <w:rFonts w:ascii="Aptos" w:hAnsi="Aptos"/>
          <w:b w:val="0"/>
          <w:color w:val="0F6B6D"/>
          <w:sz w:val="20"/>
        </w:rPr>
        <w:t>Production architecture for custom commerce, research lead generation, CRM and automation</w:t>
      </w:r>
    </w:p>
    <w:p>
      <w:r>
        <w:rPr>
          <w:rFonts w:ascii="Aptos" w:hAnsi="Aptos"/>
          <w:b/>
        </w:rPr>
        <w:t xml:space="preserve">Decision </w:t>
      </w:r>
      <w:r>
        <w:rPr>
          <w:rFonts w:ascii="Aptos" w:hAnsi="Aptos"/>
          <w:b w:val="0"/>
        </w:rPr>
        <w:t>Use a managed Linux virtual server in Europe, protected by Cloudflare, with the application, database and background worker deployed as a single production unit at launch. This is the right balance of cost, operational control and upgrade path for CERA's initial traffic and transaction profile. Do not use ordinary shared hosting for this workload.</w:t>
      </w:r>
    </w:p>
    <w:p>
      <w:pPr>
        <w:pStyle w:val="Heading1"/>
      </w:pPr>
      <w:r>
        <w:t>Recommended launch architecture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1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Layer</w:t>
            </w:r>
          </w:p>
        </w:tc>
        <w:tc>
          <w:tcPr>
            <w:tcW w:type="dxa" w:w="3384"/>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Recommended component</w:t>
            </w:r>
          </w:p>
        </w:tc>
        <w:tc>
          <w:tcPr>
            <w:tcW w:type="dxa" w:w="439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Why it fits CERA</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Public edge</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Cloudflare Pro, DNS, CDN, WAF and rate limiting</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Protects forms and checkout, serves cacheable media quickly and keeps DNS independent of hosting.</w:t>
            </w:r>
          </w:p>
        </w:tc>
      </w:tr>
      <w:tr>
        <w:tc>
          <w:tcPr>
            <w:tcW w:type="dxa" w:w="151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Application</w:t>
            </w:r>
          </w:p>
        </w:tc>
        <w:tc>
          <w:tcPr>
            <w:tcW w:type="dxa" w:w="3384"/>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Hetzner Cloud CPX32 class VM in Germany or Finland; Ubuntu LTS; 4 vCPU, 8 GB RAM, 160 GB NVMe</w:t>
            </w:r>
          </w:p>
        </w:tc>
        <w:tc>
          <w:tcPr>
            <w:tcW w:type="dxa" w:w="439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Enough headroom for a server-rendered website, custom API, CRM workflows and queue at launch. Current list price is about USD 35.49/month before add-ons.</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Runtime</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Docker Compose: web app, API, worker, Redis and reverse proxy</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Repeatable deployments, isolated services and straightforward scale-up or migration.</w:t>
            </w:r>
          </w:p>
        </w:tc>
      </w:tr>
      <w:tr>
        <w:tc>
          <w:tcPr>
            <w:tcW w:type="dxa" w:w="151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Database</w:t>
            </w:r>
          </w:p>
        </w:tc>
        <w:tc>
          <w:tcPr>
            <w:tcW w:type="dxa" w:w="3384"/>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PostgreSQL on the same VM initially; encrypted daily off-server backup</w:t>
            </w:r>
          </w:p>
        </w:tc>
        <w:tc>
          <w:tcPr>
            <w:tcW w:type="dxa" w:w="439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 solid transactional system for orders, customers, leads, consent, audit records and inventory.</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Files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Private Cloudflare R2 bucket for research briefs, attachments and backup exports; signed URLs</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Keeps confidential files out of the web server and offers inexpensive, egress-free object delivery.</w:t>
            </w:r>
          </w:p>
        </w:tc>
      </w:tr>
      <w:tr>
        <w:tc>
          <w:tcPr>
            <w:tcW w:type="dxa" w:w="151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Email</w:t>
            </w:r>
          </w:p>
        </w:tc>
        <w:tc>
          <w:tcPr>
            <w:tcW w:type="dxa" w:w="3384"/>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Zoho Mail for staff mailboxes; transactional email provider for application notices</w:t>
            </w:r>
          </w:p>
        </w:tc>
        <w:tc>
          <w:tcPr>
            <w:tcW w:type="dxa" w:w="439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Separates staff correspondence from order, lead and system mail, improving deliverability and auditability.</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Monitoring</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Uptime monitor, error tracking, structured logs and alerting</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 failed checkout, form, payment webhook or automation should be known quickly.</w:t>
            </w:r>
          </w:p>
        </w:tc>
      </w:tr>
    </w:tbl>
    <w:p>
      <w:pPr>
        <w:spacing w:after="60"/>
      </w:pPr>
    </w:p>
    <w:p>
      <w:pPr>
        <w:pStyle w:val="Heading1"/>
      </w:pPr>
      <w:r>
        <w:t>Deployment and security baseline</w:t>
      </w:r>
    </w:p>
    <w:p>
      <w:pPr>
        <w:pStyle w:val="ListBullet"/>
        <w:spacing w:after="40"/>
      </w:pPr>
      <w:r>
        <w:rPr>
          <w:rFonts w:ascii="Aptos" w:hAnsi="Aptos"/>
          <w:b w:val="0"/>
        </w:rPr>
        <w:t>Production, staging and local environments must be separated. Production credentials must never be shared in chat or committed to source code.</w:t>
      </w:r>
    </w:p>
    <w:p>
      <w:pPr>
        <w:pStyle w:val="ListBullet"/>
        <w:spacing w:after="40"/>
      </w:pPr>
      <w:r>
        <w:rPr>
          <w:rFonts w:ascii="Aptos" w:hAnsi="Aptos"/>
          <w:b w:val="0"/>
        </w:rPr>
        <w:t>Use MFA for Cloudflare, the server, source control, email, payment accounts and all CERA administrators. Each user has an individual account and role.</w:t>
      </w:r>
    </w:p>
    <w:p>
      <w:pPr>
        <w:pStyle w:val="ListBullet"/>
        <w:spacing w:after="40"/>
      </w:pPr>
      <w:r>
        <w:rPr>
          <w:rFonts w:ascii="Aptos" w:hAnsi="Aptos"/>
          <w:b w:val="0"/>
        </w:rPr>
        <w:t>Use RBAC for Owner, Ecommerce Manager, Research Sales, Customer Support, Content Editor, Scientific Reviewer and Marketing. Record critical actions in audit logs.</w:t>
      </w:r>
    </w:p>
    <w:p>
      <w:pPr>
        <w:pStyle w:val="ListBullet"/>
        <w:spacing w:after="40"/>
      </w:pPr>
      <w:r>
        <w:rPr>
          <w:rFonts w:ascii="Aptos" w:hAnsi="Aptos"/>
          <w:b w:val="0"/>
        </w:rPr>
        <w:t>Keep research attachments private; validate type, size and malware status; expose them only through authenticated, time-limited links.</w:t>
      </w:r>
    </w:p>
    <w:p>
      <w:pPr>
        <w:pStyle w:val="ListBullet"/>
        <w:spacing w:after="40"/>
      </w:pPr>
      <w:r>
        <w:rPr>
          <w:rFonts w:ascii="Aptos" w:hAnsi="Aptos"/>
          <w:b w:val="0"/>
        </w:rPr>
        <w:t>Perform encrypted daily database backup, daily media/attachment backup, retain at least 30 days and test a restore before launch and quarterly thereafter.</w:t>
      </w:r>
    </w:p>
    <w:p>
      <w:pPr>
        <w:pStyle w:val="ListBullet"/>
        <w:spacing w:after="40"/>
      </w:pPr>
      <w:r>
        <w:rPr>
          <w:rFonts w:ascii="Aptos" w:hAnsi="Aptos"/>
          <w:b w:val="0"/>
        </w:rPr>
        <w:t>Apply input validation, CSRF protection, secure cookies, rate limits, bot controls and webhook signature verification. Do not store raw card information.</w:t>
      </w:r>
    </w:p>
    <w:p>
      <w:pPr>
        <w:pStyle w:val="Heading1"/>
      </w:pPr>
      <w:r>
        <w:t>Capacity and scale path</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Stage</w:t>
            </w:r>
          </w:p>
        </w:tc>
        <w:tc>
          <w:tcPr>
            <w:tcW w:type="dxa" w:w="3528"/>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Trigger</w:t>
            </w:r>
          </w:p>
        </w:tc>
        <w:tc>
          <w:tcPr>
            <w:tcW w:type="dxa" w:w="403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Change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Launch</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Up to normal initial commerce and research lead volume</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One CPX32-class VM, Cloudflare edge, R2 attachments and automated backups.</w:t>
            </w:r>
          </w:p>
        </w:tc>
      </w:tr>
      <w:tr>
        <w:tc>
          <w:tcPr>
            <w:tcW w:type="dxa" w:w="1728"/>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Scale one</w:t>
            </w:r>
          </w:p>
        </w:tc>
        <w:tc>
          <w:tcPr>
            <w:tcW w:type="dxa" w:w="3528"/>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Sustained CPU/RAM pressure, slow database queries, or frequent background jobs</w:t>
            </w:r>
          </w:p>
        </w:tc>
        <w:tc>
          <w:tcPr>
            <w:tcW w:type="dxa" w:w="403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Resize compute to 16 GB RAM; move PostgreSQL to a managed service or a separate private VM; keep Redis and worker isolated.</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Scale two</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High order volume, campaigns or external integrations require fault isolation</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Separate web/API, workers and database; introduce managed PostgreSQL, read replicas only if measured demand requires them.</w:t>
            </w:r>
          </w:p>
        </w:tc>
      </w:tr>
      <w:tr>
        <w:tc>
          <w:tcPr>
            <w:tcW w:type="dxa" w:w="1728"/>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No-go condition</w:t>
            </w:r>
          </w:p>
        </w:tc>
        <w:tc>
          <w:tcPr>
            <w:tcW w:type="dxa" w:w="3528"/>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CERA requires contractual in-country data residency or a formal availability SLA</w:t>
            </w:r>
          </w:p>
        </w:tc>
        <w:tc>
          <w:tcPr>
            <w:tcW w:type="dxa" w:w="403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Run a data-location and vendor review before procurement; select a provider that contractually satisfies it. Do not assume a Pakistan data centre is necessary or available.</w:t>
            </w:r>
          </w:p>
        </w:tc>
      </w:tr>
    </w:tbl>
    <w:p>
      <w:pPr>
        <w:spacing w:after="60"/>
      </w:pPr>
    </w:p>
    <w:p>
      <w:pPr>
        <w:pStyle w:val="Heading1"/>
      </w:pPr>
      <w:r>
        <w:t>Why this over the alternatives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Option</w:t>
            </w:r>
          </w:p>
        </w:tc>
        <w:tc>
          <w:tcPr>
            <w:tcW w:type="dxa" w:w="223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Recommendation</w:t>
            </w:r>
          </w:p>
        </w:tc>
        <w:tc>
          <w:tcPr>
            <w:tcW w:type="dxa" w:w="4968"/>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Reason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Shared cPanel hosting</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Reject</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It is not appropriate for custom code, queues, secure uploads, controlled deployments, CRM data or observability.</w:t>
            </w:r>
          </w:p>
        </w:tc>
      </w:tr>
      <w:tr>
        <w:tc>
          <w:tcPr>
            <w:tcW w:type="dxa" w:w="2088"/>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Hetzner CPX32 plus Cloudflare</w:t>
            </w:r>
          </w:p>
        </w:tc>
        <w:tc>
          <w:tcPr>
            <w:tcW w:type="dxa" w:w="223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Choose</w:t>
            </w:r>
          </w:p>
        </w:tc>
        <w:tc>
          <w:tcPr>
            <w:tcW w:type="dxa" w:w="4968"/>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Best launch cost-to-capacity. Requires competent DevOps setup and documented recovery procedure.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DigitalOcean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Acceptable alternative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Good developer experience and simple scaling, but typically higher monthly compute cost for comparable capacity.</w:t>
            </w:r>
          </w:p>
        </w:tc>
      </w:tr>
      <w:tr>
        <w:tc>
          <w:tcPr>
            <w:tcW w:type="dxa" w:w="2088"/>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AWS Lightsail</w:t>
            </w:r>
          </w:p>
        </w:tc>
        <w:tc>
          <w:tcPr>
            <w:tcW w:type="dxa" w:w="223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Acceptable alternative</w:t>
            </w:r>
          </w:p>
        </w:tc>
        <w:tc>
          <w:tcPr>
            <w:tcW w:type="dxa" w:w="4968"/>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Predictable bundles and AWS ecosystem, but use it only if CERA anticipates AWS services or needs a familiar enterprise procurement path.</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Full AWS multi-service architecture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Defer</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Unnecessary operational and financial complexity for the measured 90-day release.</w:t>
            </w:r>
          </w:p>
        </w:tc>
      </w:tr>
    </w:tbl>
    <w:p>
      <w:pPr>
        <w:spacing w:after="60"/>
      </w:pPr>
    </w:p>
    <w:p>
      <w:pPr>
        <w:pStyle w:val="Heading1"/>
      </w:pPr>
      <w:r>
        <w:t>Indicative monthly infrastructure cost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1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Service</w:t>
            </w:r>
          </w:p>
        </w:tc>
        <w:tc>
          <w:tcPr>
            <w:tcW w:type="dxa" w:w="1944"/>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Planning amount PKR/month</w:t>
            </w:r>
          </w:p>
        </w:tc>
        <w:tc>
          <w:tcPr>
            <w:tcW w:type="dxa" w:w="403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Notes</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Hetzner CPX32 compute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10,700</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Approx. USD 35.49 at PKR 300/USD; provider/FX charges may vary.</w:t>
            </w:r>
          </w:p>
        </w:tc>
      </w:tr>
      <w:tr>
        <w:tc>
          <w:tcPr>
            <w:tcW w:type="dxa" w:w="331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Server backups and off-server backup budget</w:t>
            </w:r>
          </w:p>
        </w:tc>
        <w:tc>
          <w:tcPr>
            <w:tcW w:type="dxa" w:w="1944"/>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2,500 - 5,000</w:t>
            </w:r>
          </w:p>
        </w:tc>
        <w:tc>
          <w:tcPr>
            <w:tcW w:type="dxa" w:w="403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Keep a separate restoreable backup copy.</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Cloudflare Pro</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6,000</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About USD 20/month when billed annually; start on Free only during pre-launch if Pro features are not yet needed.</w:t>
            </w:r>
          </w:p>
        </w:tc>
      </w:tr>
      <w:tr>
        <w:tc>
          <w:tcPr>
            <w:tcW w:type="dxa" w:w="331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R2 storage and operations</w:t>
            </w:r>
          </w:p>
        </w:tc>
        <w:tc>
          <w:tcPr>
            <w:tcW w:type="dxa" w:w="1944"/>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0 - 3,000</w:t>
            </w:r>
          </w:p>
        </w:tc>
        <w:tc>
          <w:tcPr>
            <w:tcW w:type="dxa" w:w="403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10 GB and generous operation allowance included; cost grows with private files and media.</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Transactional email, monitoring and incident alerts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2,000 - 6,000</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Usage depends on volume and provider selection.</w:t>
            </w:r>
          </w:p>
        </w:tc>
      </w:tr>
      <w:tr>
        <w:tc>
          <w:tcPr>
            <w:tcW w:type="dxa" w:w="331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Five Zoho Mail Lite seats</w:t>
            </w:r>
          </w:p>
        </w:tc>
        <w:tc>
          <w:tcPr>
            <w:tcW w:type="dxa" w:w="1944"/>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1,500 - 2,000</w:t>
            </w:r>
          </w:p>
        </w:tc>
        <w:tc>
          <w:tcPr>
            <w:tcW w:type="dxa" w:w="403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About USD 1/user/month annually; add users as needed.</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Estimated fixed operating baseline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22,700 - 32,700</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Excludes payment-gateway fees, SMS/WhatsApp charges, paid advertising and support retainer.</w:t>
            </w:r>
          </w:p>
        </w:tc>
      </w:tr>
    </w:tbl>
    <w:p>
      <w:pPr>
        <w:spacing w:after="60"/>
      </w:pPr>
    </w:p>
    <w:p>
      <w:pPr>
        <w:pStyle w:val="Heading1"/>
      </w:pPr>
      <w:r>
        <w:t>Sources and planning notes</w:t>
      </w:r>
    </w:p>
    <w:p>
      <w:r>
        <w:rPr>
          <w:rFonts w:ascii="Aptos" w:hAnsi="Aptos"/>
          <w:b w:val="0"/>
        </w:rPr>
        <w:t>Provider prices are current web-published references checked in September 2026. PKR figures that depend on USD are planning estimates at PKR 300 per USD, excluding bank conversion charges, sales tax and future provider price changes.</w:t>
      </w:r>
    </w:p>
    <w:p>
      <w:pPr>
        <w:pStyle w:val="ListBullet"/>
      </w:pPr>
      <w:r>
        <w:rPr>
          <w:rFonts w:ascii="Aptos" w:hAnsi="Aptos"/>
          <w:b/>
          <w:sz w:val="17"/>
        </w:rPr>
        <w:t xml:space="preserve">CERA Medical Digital Growth Blueprint, technical architecture and security sections: </w:t>
      </w:r>
      <w:r>
        <w:rPr>
          <w:rFonts w:ascii="Aptos" w:hAnsi="Aptos"/>
          <w:b w:val="0"/>
          <w:color w:val="1A5A96"/>
          <w:sz w:val="17"/>
        </w:rPr>
        <w:t>file:///home/saad/CERA_Medical_Digital_Growth_Blueprint_Stack_and_Scale.pdf</w:t>
      </w:r>
    </w:p>
    <w:p>
      <w:pPr>
        <w:pStyle w:val="ListBullet"/>
      </w:pPr>
      <w:r>
        <w:rPr>
          <w:rFonts w:ascii="Aptos" w:hAnsi="Aptos"/>
          <w:b/>
          <w:sz w:val="17"/>
        </w:rPr>
        <w:t xml:space="preserve">Hetzner Cloud price adjustment, effective 15 June 2026: </w:t>
      </w:r>
      <w:r>
        <w:rPr>
          <w:rFonts w:ascii="Aptos" w:hAnsi="Aptos"/>
          <w:b w:val="0"/>
          <w:color w:val="1A5A96"/>
          <w:sz w:val="17"/>
        </w:rPr>
        <w:t>https://docs.hetzner.com/general/infrastructure-and-availability/price-adjustment/</w:t>
      </w:r>
    </w:p>
    <w:p>
      <w:pPr>
        <w:pStyle w:val="ListBullet"/>
      </w:pPr>
      <w:r>
        <w:rPr>
          <w:rFonts w:ascii="Aptos" w:hAnsi="Aptos"/>
          <w:b/>
          <w:sz w:val="17"/>
        </w:rPr>
        <w:t xml:space="preserve">Cloudflare plans: </w:t>
      </w:r>
      <w:r>
        <w:rPr>
          <w:rFonts w:ascii="Aptos" w:hAnsi="Aptos"/>
          <w:b w:val="0"/>
          <w:color w:val="1A5A96"/>
          <w:sz w:val="17"/>
        </w:rPr>
        <w:t>https://www.cloudflare.com/plans/</w:t>
      </w:r>
    </w:p>
    <w:p>
      <w:pPr>
        <w:pStyle w:val="ListBullet"/>
      </w:pPr>
      <w:r>
        <w:rPr>
          <w:rFonts w:ascii="Aptos" w:hAnsi="Aptos"/>
          <w:b/>
          <w:sz w:val="17"/>
        </w:rPr>
        <w:t xml:space="preserve">Cloudflare R2 pricing: </w:t>
      </w:r>
      <w:r>
        <w:rPr>
          <w:rFonts w:ascii="Aptos" w:hAnsi="Aptos"/>
          <w:b w:val="0"/>
          <w:color w:val="1A5A96"/>
          <w:sz w:val="17"/>
        </w:rPr>
        <w:t>https://developers.cloudflare.com/r2/pricing/</w:t>
      </w:r>
    </w:p>
    <w:p>
      <w:pPr>
        <w:pStyle w:val="ListBullet"/>
      </w:pPr>
      <w:r>
        <w:rPr>
          <w:rFonts w:ascii="Aptos" w:hAnsi="Aptos"/>
          <w:b/>
          <w:sz w:val="17"/>
        </w:rPr>
        <w:t xml:space="preserve">DigitalOcean Droplet pricing: </w:t>
      </w:r>
      <w:r>
        <w:rPr>
          <w:rFonts w:ascii="Aptos" w:hAnsi="Aptos"/>
          <w:b w:val="0"/>
          <w:color w:val="1A5A96"/>
          <w:sz w:val="17"/>
        </w:rPr>
        <w:t>https://docs.digitalocean.com/products/droplets/details/pricing/</w:t>
      </w:r>
    </w:p>
    <w:p>
      <w:pPr>
        <w:pStyle w:val="ListBullet"/>
      </w:pPr>
      <w:r>
        <w:rPr>
          <w:rFonts w:ascii="Aptos" w:hAnsi="Aptos"/>
          <w:b/>
          <w:sz w:val="17"/>
        </w:rPr>
        <w:t xml:space="preserve">AWS Lightsail Linux bundles: </w:t>
      </w:r>
      <w:r>
        <w:rPr>
          <w:rFonts w:ascii="Aptos" w:hAnsi="Aptos"/>
          <w:b w:val="0"/>
          <w:color w:val="1A5A96"/>
          <w:sz w:val="17"/>
        </w:rPr>
        <w:t>https://docs.aws.amazon.com/lightsail/latest/userguide/amazon-lightsail-bundles.html</w:t>
      </w:r>
    </w:p>
    <w:p>
      <w:pPr>
        <w:pStyle w:val="ListBullet"/>
      </w:pPr>
      <w:r>
        <w:rPr>
          <w:rFonts w:ascii="Aptos" w:hAnsi="Aptos"/>
          <w:b/>
          <w:sz w:val="17"/>
        </w:rPr>
        <w:t xml:space="preserve">Zoho Mail pricing: </w:t>
      </w:r>
      <w:r>
        <w:rPr>
          <w:rFonts w:ascii="Aptos" w:hAnsi="Aptos"/>
          <w:b w:val="0"/>
          <w:color w:val="1A5A96"/>
          <w:sz w:val="17"/>
        </w:rPr>
        <w:t>https://www.zoho.com/mail/zohomail-pricing.html</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b w:val="0"/>
        <w:color w:val="555555"/>
        <w:sz w:val="17"/>
      </w:rPr>
      <w:t>CERA Medical decision pack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