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sz w:val="44"/>
        </w:rPr>
        <w:t>Domain DNS and Email Recommendation</w:t>
      </w:r>
    </w:p>
    <w:p>
      <w:pPr>
        <w:spacing w:after="240"/>
      </w:pPr>
      <w:r>
        <w:rPr>
          <w:rFonts w:ascii="Aptos" w:hAnsi="Aptos"/>
          <w:b w:val="0"/>
          <w:color w:val="0F6B6D"/>
          <w:sz w:val="20"/>
        </w:rPr>
        <w:t>Retain ceramed.org as the primary identity and strengthen ownership, mail and routing</w:t>
      </w:r>
    </w:p>
    <w:p>
      <w:r>
        <w:rPr>
          <w:rFonts w:ascii="Aptos" w:hAnsi="Aptos"/>
          <w:b/>
        </w:rPr>
        <w:t xml:space="preserve">Decision </w:t>
      </w:r>
      <w:r>
        <w:rPr>
          <w:rFonts w:ascii="Aptos" w:hAnsi="Aptos"/>
          <w:b w:val="0"/>
        </w:rPr>
        <w:t>Keep ceramed.org as CERA Medical's sole primary website and email domain. It already carries brand recognition, published links and continuity. A new primary domain would create avoidable SEO, trust and email-migration risk. Buy only defensive secondary domains, then redirect them permanently to ceramed.org.</w:t>
      </w:r>
    </w:p>
    <w:p>
      <w:pPr>
        <w:pStyle w:val="Heading1"/>
      </w:pPr>
      <w:r>
        <w:t>Domain strategy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Name</w:t>
            </w:r>
          </w:p>
        </w:tc>
        <w:tc>
          <w:tcPr>
            <w:tcW w:type="dxa" w:w="3096"/>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Action</w:t>
            </w:r>
          </w:p>
        </w:tc>
        <w:tc>
          <w:tcPr>
            <w:tcW w:type="dxa" w:w="3960"/>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Purpose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ceramed.org</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Retain and renew for multiple years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Primary public website, canonical URLs and all staff email.</w:t>
            </w:r>
          </w:p>
        </w:tc>
      </w:tr>
      <w:tr>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ceramed.com</w:t>
            </w:r>
          </w:p>
        </w:tc>
        <w:tc>
          <w:tcPr>
            <w:tcW w:type="dxa" w:w="309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Buy if available</w:t>
            </w:r>
          </w:p>
        </w:tc>
        <w:tc>
          <w:tcPr>
            <w:tcW w:type="dxa" w:w="396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Defensive ownership; 301 redirect to ceramed.org. Do not run a separate site.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ceramed.pk or cera.com.pk</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Optional defensive purchase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Useful for local brand protection; PKNIC lists PKR 2,100 per year for Pakistani registrants, billed in two-year units.</w:t>
            </w:r>
          </w:p>
        </w:tc>
      </w:tr>
      <w:tr>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Look-alike and hyphen variants</w:t>
            </w:r>
          </w:p>
        </w:tc>
        <w:tc>
          <w:tcPr>
            <w:tcW w:type="dxa" w:w="309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Buy only material typo/impersonation risks</w:t>
            </w:r>
          </w:p>
        </w:tc>
        <w:tc>
          <w:tcPr>
            <w:tcW w:type="dxa" w:w="3960"/>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Avoid needless domain sprawl. Use monitoring and takedown process for abuse.</w:t>
            </w:r>
          </w:p>
        </w:tc>
      </w:tr>
    </w:tbl>
    <w:p>
      <w:pPr>
        <w:spacing w:after="60"/>
      </w:pPr>
    </w:p>
    <w:p>
      <w:pPr>
        <w:pStyle w:val="Heading1"/>
      </w:pPr>
      <w:r>
        <w:t>DNS ownership and record design</w:t>
      </w:r>
    </w:p>
    <w:p>
      <w:r>
        <w:rPr>
          <w:rFonts w:ascii="Aptos" w:hAnsi="Aptos"/>
          <w:b w:val="0"/>
        </w:rPr>
        <w:t>Move authoritative DNS to a CERA-owned Cloudflare account. The domain registrar remains the legal registrar; Cloudflare becomes DNS and security provider. CERA, not the development vendor, must own the registrar, Cloudflare, payment gateway, email and analytics accounts. Give the implementation team role-based access only.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Record / control</w:t>
            </w:r>
          </w:p>
        </w:tc>
        <w:tc>
          <w:tcPr>
            <w:tcW w:type="dxa" w:w="691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Required configuration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 / AAAA and www</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Point the root and www to Cloudflare; use a permanent canonical redirect so one preferred hostname is indexed.</w:t>
            </w:r>
          </w:p>
        </w:tc>
      </w:tr>
      <w:tr>
        <w:tc>
          <w:tcPr>
            <w:tcW w:type="dxa" w:w="237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MX</w:t>
            </w:r>
          </w:p>
        </w:tc>
        <w:tc>
          <w:tcPr>
            <w:tcW w:type="dxa" w:w="69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Point only to the selected staff-email provider. Never proxy mail records through the web CDN.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SPF</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One consolidated SPF TXT record covering the staff-mail provider and approved transactional sender; do not create multiple SPF records.</w:t>
            </w:r>
          </w:p>
        </w:tc>
      </w:tr>
      <w:tr>
        <w:tc>
          <w:tcPr>
            <w:tcW w:type="dxa" w:w="237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DKIM</w:t>
            </w:r>
          </w:p>
        </w:tc>
        <w:tc>
          <w:tcPr>
            <w:tcW w:type="dxa" w:w="69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Enable provider DKIM for Zoho and the transactional email provider, using their unique selector records.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DMARC</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Start with p=none and aggregate reports for 30 days; then move to quarantine/reject once all legitimate senders pass.</w:t>
            </w:r>
          </w:p>
        </w:tc>
      </w:tr>
      <w:tr>
        <w:tc>
          <w:tcPr>
            <w:tcW w:type="dxa" w:w="237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CAA</w:t>
            </w:r>
          </w:p>
        </w:tc>
        <w:tc>
          <w:tcPr>
            <w:tcW w:type="dxa" w:w="69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Restrict certificate issuance to the selected certificate authority if operationally comfortable.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DNSSEC</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Enable only after registrar support and rollback procedure are verified; test before switching on.</w:t>
            </w:r>
          </w:p>
        </w:tc>
      </w:tr>
      <w:tr>
        <w:tc>
          <w:tcPr>
            <w:tcW w:type="dxa" w:w="2376"/>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Registrar lock and recovery</w:t>
            </w:r>
          </w:p>
        </w:tc>
        <w:tc>
          <w:tcPr>
            <w:tcW w:type="dxa" w:w="69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Enable registrar lock, MFA, recovery contacts and renewal alerts. Store recovery codes in CERA's password manager.</w:t>
            </w:r>
          </w:p>
        </w:tc>
      </w:tr>
    </w:tbl>
    <w:p>
      <w:pPr>
        <w:spacing w:after="60"/>
      </w:pPr>
    </w:p>
    <w:p>
      <w:pPr>
        <w:pStyle w:val="Heading1"/>
      </w:pPr>
      <w:r>
        <w:t>Business email and routing</w:t>
      </w:r>
    </w:p>
    <w:p>
      <w:r>
        <w:rPr>
          <w:rFonts w:ascii="Aptos" w:hAnsi="Aptos"/>
          <w:b w:val="0"/>
        </w:rPr>
        <w:t>Use Zoho Mail Lite for cost-efficient staff mailboxes, or Google Workspace Business Starter if CERA already works heavily in Google Docs and Drive. Cloudflare Email Routing is suitable for simple inbound aliases, but it is not a replacement for a real send-and-receive business mailbox because sending requires an SMTP provider.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Address</w:t>
            </w:r>
          </w:p>
        </w:tc>
        <w:tc>
          <w:tcPr>
            <w:tcW w:type="dxa" w:w="259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Owner / route</w:t>
            </w:r>
          </w:p>
        </w:tc>
        <w:tc>
          <w:tcPr>
            <w:tcW w:type="dxa" w:w="367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7"/>
              </w:rPr>
              <w:t>Use</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info@ceramed.org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Reception or Operations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General contact and public enquiries.</w:t>
            </w:r>
          </w:p>
        </w:tc>
      </w:tr>
      <w:tr>
        <w:tc>
          <w:tcPr>
            <w:tcW w:type="dxa" w:w="302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research@ceramed.org</w:t>
            </w:r>
          </w:p>
        </w:tc>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Research Sales queue</w:t>
            </w:r>
          </w:p>
        </w:tc>
        <w:tc>
          <w:tcPr>
            <w:tcW w:type="dxa" w:w="367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Research proposal and B2B service leads.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orders@ceramed.org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E-commerce Operations</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Order exceptions, invoices and fulfillment.</w:t>
            </w:r>
          </w:p>
        </w:tc>
      </w:tr>
      <w:tr>
        <w:tc>
          <w:tcPr>
            <w:tcW w:type="dxa" w:w="302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support@ceramed.org</w:t>
            </w:r>
          </w:p>
        </w:tc>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Customer Support</w:t>
            </w:r>
          </w:p>
        </w:tc>
        <w:tc>
          <w:tcPr>
            <w:tcW w:type="dxa" w:w="367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Product questions, returns and delivery support.</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partnerships@ceramed.org</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Business Development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Distribution, wholesale, media and collaborations.</w:t>
            </w:r>
          </w:p>
        </w:tc>
      </w:tr>
      <w:tr>
        <w:tc>
          <w:tcPr>
            <w:tcW w:type="dxa" w:w="302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no-reply@ceramed.org</w:t>
            </w:r>
          </w:p>
        </w:tc>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Application transactional sender</w:t>
            </w:r>
          </w:p>
        </w:tc>
        <w:tc>
          <w:tcPr>
            <w:tcW w:type="dxa" w:w="367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7"/>
              </w:rPr>
              <w:t>Receipts, password resets and lifecycle notices; configure reply-to support@ or orders@.</w:t>
            </w:r>
          </w:p>
        </w:tc>
      </w:tr>
    </w:tbl>
    <w:p>
      <w:pPr>
        <w:spacing w:after="60"/>
      </w:pPr>
    </w:p>
    <w:p>
      <w:pPr>
        <w:pStyle w:val="Heading1"/>
      </w:pPr>
      <w:r>
        <w:t>Implementation sequence</w:t>
      </w:r>
    </w:p>
    <w:p>
      <w:pPr>
        <w:pStyle w:val="ListBullet"/>
        <w:spacing w:after="40"/>
      </w:pPr>
      <w:r>
        <w:rPr>
          <w:rFonts w:ascii="Aptos" w:hAnsi="Aptos"/>
          <w:b w:val="0"/>
        </w:rPr>
        <w:t>Inventory all current DNS records and mailboxes before any nameserver change. Export the current zone and verify website, email, verification and third-party records.</w:t>
      </w:r>
    </w:p>
    <w:p>
      <w:pPr>
        <w:pStyle w:val="ListBullet"/>
        <w:spacing w:after="40"/>
      </w:pPr>
      <w:r>
        <w:rPr>
          <w:rFonts w:ascii="Aptos" w:hAnsi="Aptos"/>
          <w:b w:val="0"/>
        </w:rPr>
        <w:t>Create CERA-owned Cloudflare and email administrator accounts with MFA. Add the implementation team after ownership is confirmed.</w:t>
      </w:r>
    </w:p>
    <w:p>
      <w:pPr>
        <w:pStyle w:val="ListBullet"/>
        <w:spacing w:after="40"/>
      </w:pPr>
      <w:r>
        <w:rPr>
          <w:rFonts w:ascii="Aptos" w:hAnsi="Aptos"/>
          <w:b w:val="0"/>
        </w:rPr>
        <w:t>Set up mailboxes, aliases, SPF and DKIM. Test send/receive from external Gmail and Outlook accounts before changing DMARC enforcement.</w:t>
      </w:r>
    </w:p>
    <w:p>
      <w:pPr>
        <w:pStyle w:val="ListBullet"/>
        <w:spacing w:after="40"/>
      </w:pPr>
      <w:r>
        <w:rPr>
          <w:rFonts w:ascii="Aptos" w:hAnsi="Aptos"/>
          <w:b w:val="0"/>
        </w:rPr>
        <w:t>Migrate the site with a staging hostname and a low DNS TTL. Switch only after checkout, forms, analytics, transactional email and redirects pass acceptance tests.</w:t>
      </w:r>
    </w:p>
    <w:p>
      <w:pPr>
        <w:pStyle w:val="ListBullet"/>
        <w:spacing w:after="40"/>
      </w:pPr>
      <w:r>
        <w:rPr>
          <w:rFonts w:ascii="Aptos" w:hAnsi="Aptos"/>
          <w:b w:val="0"/>
        </w:rPr>
        <w:t>Do not use medicalcera@gmail.com as the public brand identity. Keep it temporarily only as a monitored recovery/transition address if necessary.</w:t>
      </w:r>
    </w:p>
    <w:p>
      <w:pPr>
        <w:pStyle w:val="Heading1"/>
      </w:pPr>
      <w:r>
        <w:t>Sources and planning notes</w:t>
      </w:r>
    </w:p>
    <w:p>
      <w:r>
        <w:rPr>
          <w:rFonts w:ascii="Aptos" w:hAnsi="Aptos"/>
          <w:b w:val="0"/>
        </w:rPr>
        <w:t>Provider prices are current web-published references checked in September 2026. PKR figures that depend on USD are planning estimates at PKR 300 per USD, excluding bank conversion charges, sales tax and future provider price changes.</w:t>
      </w:r>
    </w:p>
    <w:p>
      <w:pPr>
        <w:pStyle w:val="ListBullet"/>
      </w:pPr>
      <w:r>
        <w:rPr>
          <w:rFonts w:ascii="Aptos" w:hAnsi="Aptos"/>
          <w:b/>
          <w:sz w:val="17"/>
        </w:rPr>
        <w:t xml:space="preserve">CERA Blueprint: contact identity and routing findings: </w:t>
      </w:r>
      <w:r>
        <w:rPr>
          <w:rFonts w:ascii="Aptos" w:hAnsi="Aptos"/>
          <w:b w:val="0"/>
          <w:color w:val="1A5A96"/>
          <w:sz w:val="17"/>
        </w:rPr>
        <w:t>file:///home/saad/CERA_Medical_Digital_Growth_Blueprint_Stack_and_Scale.pdf</w:t>
      </w:r>
    </w:p>
    <w:p>
      <w:pPr>
        <w:pStyle w:val="ListBullet"/>
      </w:pPr>
      <w:r>
        <w:rPr>
          <w:rFonts w:ascii="Aptos" w:hAnsi="Aptos"/>
          <w:b/>
          <w:sz w:val="17"/>
        </w:rPr>
        <w:t xml:space="preserve">Cloudflare DNS FAQ: </w:t>
      </w:r>
      <w:r>
        <w:rPr>
          <w:rFonts w:ascii="Aptos" w:hAnsi="Aptos"/>
          <w:b w:val="0"/>
          <w:color w:val="1A5A96"/>
          <w:sz w:val="17"/>
        </w:rPr>
        <w:t>https://developers.cloudflare.com/dns/faq/</w:t>
      </w:r>
    </w:p>
    <w:p>
      <w:pPr>
        <w:pStyle w:val="ListBullet"/>
      </w:pPr>
      <w:r>
        <w:rPr>
          <w:rFonts w:ascii="Aptos" w:hAnsi="Aptos"/>
          <w:b/>
          <w:sz w:val="17"/>
        </w:rPr>
        <w:t xml:space="preserve">Cloudflare email records guidance: </w:t>
      </w:r>
      <w:r>
        <w:rPr>
          <w:rFonts w:ascii="Aptos" w:hAnsi="Aptos"/>
          <w:b w:val="0"/>
          <w:color w:val="1A5A96"/>
          <w:sz w:val="17"/>
        </w:rPr>
        <w:t>https://developers.cloudflare.com/dns/manage-dns-records/how-to/email-records/</w:t>
      </w:r>
    </w:p>
    <w:p>
      <w:pPr>
        <w:pStyle w:val="ListBullet"/>
      </w:pPr>
      <w:r>
        <w:rPr>
          <w:rFonts w:ascii="Aptos" w:hAnsi="Aptos"/>
          <w:b/>
          <w:sz w:val="17"/>
        </w:rPr>
        <w:t xml:space="preserve">Cloudflare Email Routing: </w:t>
      </w:r>
      <w:r>
        <w:rPr>
          <w:rFonts w:ascii="Aptos" w:hAnsi="Aptos"/>
          <w:b w:val="0"/>
          <w:color w:val="1A5A96"/>
          <w:sz w:val="17"/>
        </w:rPr>
        <w:t>https://developers.cloudflare.com/email-service/get-started/route-emails/</w:t>
      </w:r>
    </w:p>
    <w:p>
      <w:pPr>
        <w:pStyle w:val="ListBullet"/>
      </w:pPr>
      <w:r>
        <w:rPr>
          <w:rFonts w:ascii="Aptos" w:hAnsi="Aptos"/>
          <w:b/>
          <w:sz w:val="17"/>
        </w:rPr>
        <w:t xml:space="preserve">PKNIC domain registration information: </w:t>
      </w:r>
      <w:r>
        <w:rPr>
          <w:rFonts w:ascii="Aptos" w:hAnsi="Aptos"/>
          <w:b w:val="0"/>
          <w:color w:val="1A5A96"/>
          <w:sz w:val="17"/>
        </w:rPr>
        <w:t>https://www.pknic.net.pk/register-domain.html</w:t>
      </w:r>
    </w:p>
    <w:p>
      <w:pPr>
        <w:pStyle w:val="ListBullet"/>
      </w:pPr>
      <w:r>
        <w:rPr>
          <w:rFonts w:ascii="Aptos" w:hAnsi="Aptos"/>
          <w:b/>
          <w:sz w:val="17"/>
        </w:rPr>
        <w:t xml:space="preserve">Google Workspace pricing: </w:t>
      </w:r>
      <w:r>
        <w:rPr>
          <w:rFonts w:ascii="Aptos" w:hAnsi="Aptos"/>
          <w:b w:val="0"/>
          <w:color w:val="1A5A96"/>
          <w:sz w:val="17"/>
        </w:rPr>
        <w:t>https://knowledge.workspace.google.com/admin/billing/compare-flexible-and-annual-fixed-term-payment-plans</w:t>
      </w:r>
    </w:p>
    <w:p>
      <w:pPr>
        <w:pStyle w:val="ListBullet"/>
      </w:pPr>
      <w:r>
        <w:rPr>
          <w:rFonts w:ascii="Aptos" w:hAnsi="Aptos"/>
          <w:b/>
          <w:sz w:val="17"/>
        </w:rPr>
        <w:t xml:space="preserve">Zoho Mail pricing: </w:t>
      </w:r>
      <w:r>
        <w:rPr>
          <w:rFonts w:ascii="Aptos" w:hAnsi="Aptos"/>
          <w:b w:val="0"/>
          <w:color w:val="1A5A96"/>
          <w:sz w:val="17"/>
        </w:rPr>
        <w:t>https://www.zoho.com/mail/zohomail-pricing.html</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color w:val="555555"/>
        <w:sz w:val="17"/>
      </w:rPr>
      <w:t>CERA Medical decision pack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