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sz w:val="44"/>
        </w:rPr>
        <w:t>Project Estimate and Pricing Sheet</w:t>
      </w:r>
    </w:p>
    <w:p>
      <w:pPr>
        <w:spacing w:after="240"/>
      </w:pPr>
      <w:r>
        <w:rPr>
          <w:rFonts w:ascii="Aptos" w:hAnsi="Aptos"/>
          <w:b w:val="0"/>
          <w:color w:val="0F6B6D"/>
          <w:sz w:val="20"/>
        </w:rPr>
        <w:t>Custom CERA Medical commerce, research lead system, CRM and first-release automation</w:t>
      </w:r>
    </w:p>
    <w:p>
      <w:r>
        <w:rPr>
          <w:rFonts w:ascii="Aptos" w:hAnsi="Aptos"/>
          <w:b/>
        </w:rPr>
        <w:t xml:space="preserve">Commercial recommendation </w:t>
      </w:r>
      <w:r>
        <w:rPr>
          <w:rFonts w:ascii="Aptos" w:hAnsi="Aptos"/>
          <w:b w:val="0"/>
        </w:rPr>
        <w:t>Recommended client price: PKR 4,250,000 excluding applicable taxes and third-party vendor charges. This is a fixed-price first release, not a generic website quote: it includes the custom product and order workflow, research qualification funnel, unified CRM records, critical automation, measurement and production launch work described in the blueprint.</w:t>
      </w:r>
    </w:p>
    <w:p>
      <w:pPr>
        <w:pStyle w:val="Heading1"/>
      </w:pPr>
      <w:r>
        <w:t>Included first release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01"/>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Workstream</w:t>
            </w:r>
          </w:p>
        </w:tc>
        <w:tc>
          <w:tcPr>
            <w:tcW w:type="dxa" w:w="5328"/>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Included deliverables</w:t>
            </w:r>
          </w:p>
        </w:tc>
        <w:tc>
          <w:tcPr>
            <w:tcW w:type="dxa" w:w="1440"/>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Price PKR</w:t>
            </w:r>
          </w:p>
        </w:tc>
      </w:tr>
      <w:tr>
        <w:tc>
          <w:tcPr>
            <w:tcW w:type="dxa" w:w="19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Discovery and solution design</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Requirements workshops, existing-system assessment, final flows, technical design, analytics map and delivery backlog.</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400,000</w:t>
            </w:r>
          </w:p>
        </w:tc>
      </w:tr>
      <w:tr>
        <w:tc>
          <w:tcPr>
            <w:tcW w:type="dxa" w:w="1901"/>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Conversion foundation</w:t>
            </w:r>
          </w:p>
        </w:tc>
        <w:tc>
          <w:tcPr>
            <w:tcW w:type="dxa" w:w="532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New dual-path information architecture, homepage, four research-service pages, qualified proposal form, publication/team/facility structures, technical SEO and tracking baseline.</w:t>
            </w:r>
          </w:p>
        </w:tc>
        <w:tc>
          <w:tcPr>
            <w:tcW w:type="dxa" w:w="144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900,000</w:t>
            </w:r>
          </w:p>
        </w:tc>
      </w:tr>
      <w:tr>
        <w:tc>
          <w:tcPr>
            <w:tcW w:type="dxa" w:w="19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Custom commerce core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Catalogue, product pages, variants, inventory, cart, guest checkout, one payment-provider integration, shipping logic, order lifecycle, invoices and customer order tracking.</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1,600,000</w:t>
            </w:r>
          </w:p>
        </w:tc>
      </w:tr>
      <w:tr>
        <w:tc>
          <w:tcPr>
            <w:tcW w:type="dxa" w:w="1901"/>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CRM and automation core</w:t>
            </w:r>
          </w:p>
        </w:tc>
        <w:tc>
          <w:tcPr>
            <w:tcW w:type="dxa" w:w="532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Unified records, research pipeline, assignment/tasks, source attribution, acknowledgement, proposal follow-up, cart recovery, post-purchase and reorder flows.</w:t>
            </w:r>
          </w:p>
        </w:tc>
        <w:tc>
          <w:tcPr>
            <w:tcW w:type="dxa" w:w="144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800,000</w:t>
            </w:r>
          </w:p>
        </w:tc>
      </w:tr>
      <w:tr>
        <w:tc>
          <w:tcPr>
            <w:tcW w:type="dxa" w:w="19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QA, launch and handover</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Security, performance and accessibility checks; production deployment; backup/restore test; training; technical handover and 45-day defect warranty.</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550,000</w:t>
            </w:r>
          </w:p>
        </w:tc>
      </w:tr>
      <w:tr>
        <w:tc>
          <w:tcPr>
            <w:tcW w:type="dxa" w:w="1901"/>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Total fixed project fee</w:t>
            </w:r>
          </w:p>
        </w:tc>
        <w:tc>
          <w:tcPr>
            <w:tcW w:type="dxa" w:w="532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First-release scope only</w:t>
            </w:r>
          </w:p>
        </w:tc>
        <w:tc>
          <w:tcPr>
            <w:tcW w:type="dxa" w:w="144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4,250,000</w:t>
            </w:r>
          </w:p>
        </w:tc>
      </w:tr>
    </w:tbl>
    <w:p>
      <w:pPr>
        <w:spacing w:after="60"/>
      </w:pPr>
    </w:p>
    <w:p>
      <w:pPr>
        <w:pStyle w:val="Heading1"/>
      </w:pPr>
      <w:r>
        <w:t>Payment milestones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Milestone</w:t>
            </w:r>
          </w:p>
        </w:tc>
        <w:tc>
          <w:tcPr>
            <w:tcW w:type="dxa" w:w="5760"/>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Acceptance basis</w:t>
            </w:r>
          </w:p>
        </w:tc>
        <w:tc>
          <w:tcPr>
            <w:tcW w:type="dxa" w:w="151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Amount PKR</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1. Start and discovery</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Agreement signed, access received and discovery schedule confirmed.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1,062,500 (25%)</w:t>
            </w:r>
          </w:p>
        </w:tc>
      </w:tr>
      <w:tr>
        <w:tc>
          <w:tcPr>
            <w:tcW w:type="dxa" w:w="201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2. Conversion foundation</w:t>
            </w:r>
          </w:p>
        </w:tc>
        <w:tc>
          <w:tcPr>
            <w:tcW w:type="dxa" w:w="576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Approved information architecture, research pages/forms, CRM intake and measurement baseline on staging.</w:t>
            </w:r>
          </w:p>
        </w:tc>
        <w:tc>
          <w:tcPr>
            <w:tcW w:type="dxa" w:w="15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1,062,500 (25%)</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3. Commerce acceptance</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Catalogue, cart, checkout, order workflow and one payment/shipping flow pass agreed UAT on staging.</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1,275,000 (30%)</w:t>
            </w:r>
          </w:p>
        </w:tc>
      </w:tr>
      <w:tr>
        <w:tc>
          <w:tcPr>
            <w:tcW w:type="dxa" w:w="201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4. Go-live and handover</w:t>
            </w:r>
          </w:p>
        </w:tc>
        <w:tc>
          <w:tcPr>
            <w:tcW w:type="dxa" w:w="576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Production launch, critical acceptance tests passed, documentation and administrator training delivered.</w:t>
            </w:r>
          </w:p>
        </w:tc>
        <w:tc>
          <w:tcPr>
            <w:tcW w:type="dxa" w:w="15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850,000 (20%)</w:t>
            </w:r>
          </w:p>
        </w:tc>
      </w:tr>
    </w:tbl>
    <w:p>
      <w:pPr>
        <w:spacing w:after="60"/>
      </w:pPr>
    </w:p>
    <w:p>
      <w:pPr>
        <w:pStyle w:val="Heading1"/>
      </w:pPr>
      <w:r>
        <w:t>Scope assumptions</w:t>
      </w:r>
    </w:p>
    <w:p>
      <w:pPr>
        <w:pStyle w:val="ListBullet"/>
        <w:spacing w:after="40"/>
      </w:pPr>
      <w:r>
        <w:rPr>
          <w:rFonts w:ascii="Aptos" w:hAnsi="Aptos"/>
          <w:b w:val="0"/>
        </w:rPr>
        <w:t>One responsive public website, one custom administration area and a first-release CRM; English-first content. Urdu, additional languages and native mobile apps are excluded.</w:t>
      </w:r>
    </w:p>
    <w:p>
      <w:pPr>
        <w:pStyle w:val="ListBullet"/>
        <w:spacing w:after="40"/>
      </w:pPr>
      <w:r>
        <w:rPr>
          <w:rFonts w:ascii="Aptos" w:hAnsi="Aptos"/>
          <w:b w:val="0"/>
        </w:rPr>
        <w:t>Up to 40 initial products, four core research-service pages and one approved visual direction. Additional catalogue migration is billed after the included limit.</w:t>
      </w:r>
    </w:p>
    <w:p>
      <w:pPr>
        <w:pStyle w:val="ListBullet"/>
        <w:spacing w:after="40"/>
      </w:pPr>
      <w:r>
        <w:rPr>
          <w:rFonts w:ascii="Aptos" w:hAnsi="Aptos"/>
          <w:b w:val="0"/>
        </w:rPr>
        <w:t>One payment gateway, one courier/shipping integration, one transactional email provider and WhatsApp integration only where CERA has the required commercial account and approvals.</w:t>
      </w:r>
    </w:p>
    <w:p>
      <w:pPr>
        <w:pStyle w:val="ListBullet"/>
        <w:spacing w:after="40"/>
      </w:pPr>
      <w:r>
        <w:rPr>
          <w:rFonts w:ascii="Aptos" w:hAnsi="Aptos"/>
          <w:b w:val="0"/>
        </w:rPr>
        <w:t>CERA provides final product data, pricing, stock, approved claims/warnings, photography, publications, team credentials, policies and authorized evidence. Scientific/legal review remains CERA's responsibility.</w:t>
      </w:r>
    </w:p>
    <w:p>
      <w:pPr>
        <w:pStyle w:val="ListBullet"/>
        <w:spacing w:after="40"/>
      </w:pPr>
      <w:r>
        <w:rPr>
          <w:rFonts w:ascii="Aptos" w:hAnsi="Aptos"/>
          <w:b w:val="0"/>
        </w:rPr>
        <w:t>Includes a 45-day defect warranty after launch. Continuous operations, content production, paid media, SEO retainers and feature changes are separate services.</w:t>
      </w:r>
    </w:p>
    <w:p>
      <w:pPr>
        <w:pStyle w:val="Heading1"/>
      </w:pPr>
      <w:r>
        <w:t>Excluded and variable costs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240"/>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Item</w:t>
            </w:r>
          </w:p>
        </w:tc>
        <w:tc>
          <w:tcPr>
            <w:tcW w:type="dxa" w:w="6048"/>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Commercial treatment</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Cloud hosting, object storage, email, domains, SMS, WhatsApp, payment processing and courier charges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Paid directly by CERA to vendor. Baseline infrastructure is estimated at PKR 22,700-32,700/month before usage-based services.</w:t>
            </w:r>
          </w:p>
        </w:tc>
      </w:tr>
      <w:tr>
        <w:tc>
          <w:tcPr>
            <w:tcW w:type="dxa" w:w="324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Paid advertising spend, creative production and influencer work</w:t>
            </w:r>
          </w:p>
        </w:tc>
        <w:tc>
          <w:tcPr>
            <w:tcW w:type="dxa" w:w="604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Not included; requires a separate media plan and regulatory/claim approval.</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DRAP/legal advice, product classification, advertisement approval, privacy/legal drafting</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Not included. Specialist review is a pre-launch dependency for relevant therapeutic claims.</w:t>
            </w:r>
          </w:p>
        </w:tc>
      </w:tr>
      <w:tr>
        <w:tc>
          <w:tcPr>
            <w:tcW w:type="dxa" w:w="324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Additional gateways/couriers, wholesale portal, subscriptions, loyalty/referrals, advanced BI or AI assistants</w:t>
            </w:r>
          </w:p>
        </w:tc>
        <w:tc>
          <w:tcPr>
            <w:tcW w:type="dxa" w:w="604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Phase 2 change order after measured launch data; budget separately.</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Change requests after scope lock</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Quoted against a blended rate of PKR 22,000 per approved person-day, with a written impact on timing.</w:t>
            </w:r>
          </w:p>
        </w:tc>
      </w:tr>
    </w:tbl>
    <w:p>
      <w:pPr>
        <w:spacing w:after="60"/>
      </w:pPr>
    </w:p>
    <w:p>
      <w:pPr>
        <w:pStyle w:val="Heading1"/>
      </w:pPr>
      <w:r>
        <w:t>Market position</w:t>
      </w:r>
    </w:p>
    <w:p>
      <w:r>
        <w:rPr>
          <w:rFonts w:ascii="Aptos" w:hAnsi="Aptos"/>
          <w:b w:val="0"/>
        </w:rPr>
        <w:t>Published 2026 Pakistan references show ordinary ecommerce packages in the low hundreds of thousands of PKR and entry custom web applications around PKR 600,000. Those packages do not equal CERA's scope: regulated product-content controls, custom checkout/order operations, research-file intake, a B2B opportunity pipeline, automation, security hardening, analytics and formal handover materially increase both effort and accountability. The recommended price is therefore positioned as a serious custom build, not a template-store quotation.</w:t>
      </w:r>
    </w:p>
    <w:p>
      <w:pPr>
        <w:pStyle w:val="Heading1"/>
      </w:pPr>
      <w:r>
        <w:t>Sources and planning notes</w:t>
      </w:r>
    </w:p>
    <w:p>
      <w:r>
        <w:rPr>
          <w:rFonts w:ascii="Aptos" w:hAnsi="Aptos"/>
          <w:b w:val="0"/>
        </w:rPr>
        <w:t>Provider prices are current web-published references checked in September 2026. PKR figures that depend on USD are planning estimates at PKR 300 per USD, excluding bank conversion charges, sales tax and future provider price changes.</w:t>
      </w:r>
    </w:p>
    <w:p>
      <w:pPr>
        <w:pStyle w:val="ListBullet"/>
      </w:pPr>
      <w:r>
        <w:rPr>
          <w:rFonts w:ascii="Aptos" w:hAnsi="Aptos"/>
          <w:b/>
          <w:sz w:val="17"/>
        </w:rPr>
        <w:t xml:space="preserve">CERA Blueprint: scope, 90-day sequence and full backlog: </w:t>
      </w:r>
      <w:r>
        <w:rPr>
          <w:rFonts w:ascii="Aptos" w:hAnsi="Aptos"/>
          <w:b w:val="0"/>
          <w:color w:val="1A5A96"/>
          <w:sz w:val="17"/>
        </w:rPr>
        <w:t>file:///home/saad/CERA_Medical_Digital_Growth_Blueprint_Stack_and_Scale.pdf</w:t>
      </w:r>
    </w:p>
    <w:p>
      <w:pPr>
        <w:pStyle w:val="ListBullet"/>
      </w:pPr>
      <w:r>
        <w:rPr>
          <w:rFonts w:ascii="Aptos" w:hAnsi="Aptos"/>
          <w:b/>
          <w:sz w:val="17"/>
        </w:rPr>
        <w:t xml:space="preserve">Diginuance Pakistan software-development pricing, May 2026: </w:t>
      </w:r>
      <w:r>
        <w:rPr>
          <w:rFonts w:ascii="Aptos" w:hAnsi="Aptos"/>
          <w:b w:val="0"/>
          <w:color w:val="1A5A96"/>
          <w:sz w:val="17"/>
        </w:rPr>
        <w:t>https://www.diginuance.com/pricing/</w:t>
      </w:r>
    </w:p>
    <w:p>
      <w:pPr>
        <w:pStyle w:val="ListBullet"/>
      </w:pPr>
      <w:r>
        <w:rPr>
          <w:rFonts w:ascii="Aptos" w:hAnsi="Aptos"/>
          <w:b/>
          <w:sz w:val="17"/>
        </w:rPr>
        <w:t xml:space="preserve">Website Developers Pakistan custom and ecommerce pricing: </w:t>
      </w:r>
      <w:r>
        <w:rPr>
          <w:rFonts w:ascii="Aptos" w:hAnsi="Aptos"/>
          <w:b w:val="0"/>
          <w:color w:val="1A5A96"/>
          <w:sz w:val="17"/>
        </w:rPr>
        <w:t>https://websitedevelopers.pk/pricing/</w:t>
      </w:r>
    </w:p>
    <w:p>
      <w:pPr>
        <w:pStyle w:val="ListBullet"/>
      </w:pPr>
      <w:r>
        <w:rPr>
          <w:rFonts w:ascii="Aptos" w:hAnsi="Aptos"/>
          <w:b/>
          <w:sz w:val="17"/>
        </w:rPr>
        <w:t xml:space="preserve">WebsitePakistan ecommerce and custom application pricing: </w:t>
      </w:r>
      <w:r>
        <w:rPr>
          <w:rFonts w:ascii="Aptos" w:hAnsi="Aptos"/>
          <w:b w:val="0"/>
          <w:color w:val="1A5A96"/>
          <w:sz w:val="17"/>
        </w:rPr>
        <w:t>https://websitepakistan.com/pricing/ecommerce-pakistan/</w:t>
      </w:r>
    </w:p>
    <w:p>
      <w:pPr>
        <w:pStyle w:val="ListBullet"/>
      </w:pPr>
      <w:r>
        <w:rPr>
          <w:rFonts w:ascii="Aptos" w:hAnsi="Aptos"/>
          <w:b/>
          <w:sz w:val="17"/>
        </w:rPr>
        <w:t xml:space="preserve">Mamoon Faisal 2026 Pakistan ecommerce cost range: </w:t>
      </w:r>
      <w:r>
        <w:rPr>
          <w:rFonts w:ascii="Aptos" w:hAnsi="Aptos"/>
          <w:b w:val="0"/>
          <w:color w:val="1A5A96"/>
          <w:sz w:val="17"/>
        </w:rPr>
        <w:t>https://mamoon-faisal.dev/blog/ecommerce-website-development-cost-pakistan/</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color w:val="555555"/>
        <w:sz w:val="17"/>
      </w:rPr>
      <w:t>CERA Medical decision pack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