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Aptos" w:hAnsi="Aptos"/>
          <w:b/>
          <w:sz w:val="44"/>
        </w:rPr>
        <w:t>Three Developer Delivery Plan</w:t>
      </w:r>
    </w:p>
    <w:p>
      <w:pPr>
        <w:spacing w:after="240"/>
      </w:pPr>
      <w:r>
        <w:rPr>
          <w:rFonts w:ascii="Aptos" w:hAnsi="Aptos"/>
          <w:b w:val="0"/>
          <w:color w:val="0F6B6D"/>
          <w:sz w:val="20"/>
        </w:rPr>
        <w:t>Realistic working-day plan for the CERA Medical first release</w:t>
      </w:r>
    </w:p>
    <w:p>
      <w:r>
        <w:rPr>
          <w:rFonts w:ascii="Aptos" w:hAnsi="Aptos"/>
          <w:b/>
        </w:rPr>
        <w:t xml:space="preserve">Timeline decision </w:t>
      </w:r>
      <w:r>
        <w:rPr>
          <w:rFonts w:ascii="Aptos" w:hAnsi="Aptos"/>
          <w:b w:val="0"/>
        </w:rPr>
        <w:t>Plan for 75 working days, or roughly 15 five-day weeks, with three developers. The blueprint's 90-calendar-day target is possible only with a frozen first-release scope, complete client content and decisions within one to two business days. The safer contractual commitment is 75 working days from complete access and content readiness, with a launch window around working days 71-75.</w:t>
      </w:r>
    </w:p>
    <w:p>
      <w:pPr>
        <w:pStyle w:val="Heading1"/>
      </w:pPr>
      <w:r>
        <w:t>Team allocation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Developer</w:t>
            </w:r>
          </w:p>
        </w:tc>
        <w:tc>
          <w:tcPr>
            <w:tcW w:type="dxa" w:w="5760"/>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Primary ownership</w:t>
            </w:r>
          </w:p>
        </w:tc>
        <w:tc>
          <w:tcPr>
            <w:tcW w:type="dxa" w:w="1440"/>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Indicative effort</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A. Technical Lead and Backend</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Architecture, data model, auth/RBAC, API, PostgreSQL, payment/courier webhooks, CRM, automations, DevOps and security.</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70 days</w:t>
            </w:r>
          </w:p>
        </w:tc>
      </w:tr>
      <w:tr>
        <w:tc>
          <w:tcPr>
            <w:tcW w:type="dxa" w:w="223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B. Commerce Full Stack</w:t>
            </w:r>
          </w:p>
        </w:tc>
        <w:tc>
          <w:tcPr>
            <w:tcW w:type="dxa" w:w="5760"/>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Product catalogue, product detail pages, cart/checkout, orders, inventory, invoices, customer account and operational admin.</w:t>
            </w:r>
          </w:p>
        </w:tc>
        <w:tc>
          <w:tcPr>
            <w:tcW w:type="dxa" w:w="1440"/>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75 days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C. Frontend and Growth Systems</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Design system, responsive public site, research pages/forms, analytics/SEO, CMS structures, dashboards and acceptance testing support.</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72 days</w:t>
            </w:r>
          </w:p>
        </w:tc>
      </w:tr>
      <w:tr>
        <w:tc>
          <w:tcPr>
            <w:tcW w:type="dxa" w:w="223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Shared capacity</w:t>
            </w:r>
          </w:p>
        </w:tc>
        <w:tc>
          <w:tcPr>
            <w:tcW w:type="dxa" w:w="5760"/>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Code review, security/performance/accessibility QA, bug fixing, deployment, training and launch support.</w:t>
            </w:r>
          </w:p>
        </w:tc>
        <w:tc>
          <w:tcPr>
            <w:tcW w:type="dxa" w:w="1440"/>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About 13 team-days buffer</w:t>
            </w:r>
          </w:p>
        </w:tc>
      </w:tr>
    </w:tbl>
    <w:p>
      <w:pPr>
        <w:spacing w:after="60"/>
      </w:pPr>
    </w:p>
    <w:p>
      <w:pPr>
        <w:pStyle w:val="Heading1"/>
      </w:pPr>
      <w:r>
        <w:t>Work plan by working-day window</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037"/>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5"/>
              </w:rPr>
              <w:t>Days</w:t>
            </w:r>
          </w:p>
        </w:tc>
        <w:tc>
          <w:tcPr>
            <w:tcW w:type="dxa" w:w="1512"/>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5"/>
              </w:rPr>
              <w:t>Objective</w:t>
            </w:r>
          </w:p>
        </w:tc>
        <w:tc>
          <w:tcPr>
            <w:tcW w:type="dxa" w:w="2592"/>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5"/>
              </w:rPr>
              <w:t>A Backend Lead</w:t>
            </w:r>
          </w:p>
        </w:tc>
        <w:tc>
          <w:tcPr>
            <w:tcW w:type="dxa" w:w="2592"/>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5"/>
              </w:rPr>
              <w:t>B Commerce</w:t>
            </w:r>
          </w:p>
        </w:tc>
        <w:tc>
          <w:tcPr>
            <w:tcW w:type="dxa" w:w="2592"/>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5"/>
              </w:rPr>
              <w:t>C Frontend and Growth</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5"/>
              </w:rPr>
              <w:t>1-10</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5"/>
              </w:rPr>
              <w:t>Discovery and foundations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5"/>
              </w:rPr>
              <w:t>Audit current code and hosting; data model; environment/security plan.</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5"/>
              </w:rPr>
              <w:t>Map product, stock, pricing, fulfillment and checkout rules.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5"/>
              </w:rPr>
              <w:t>Content inventory; IA; UX flows; analytics and SEO specification.</w:t>
            </w:r>
          </w:p>
        </w:tc>
      </w:tr>
      <w:tr>
        <w:tc>
          <w:tcPr>
            <w:tcW w:type="dxa" w:w="1037"/>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5"/>
              </w:rPr>
              <w:t>11-25</w:t>
            </w:r>
          </w:p>
        </w:tc>
        <w:tc>
          <w:tcPr>
            <w:tcW w:type="dxa" w:w="151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5"/>
              </w:rPr>
              <w:t>Conversion foundation</w:t>
            </w:r>
          </w:p>
        </w:tc>
        <w:tc>
          <w:tcPr>
            <w:tcW w:type="dxa" w:w="259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5"/>
              </w:rPr>
              <w:t>Auth/RBAC skeleton; CRM contact/opportunity model; form intake; event pipeline.</w:t>
            </w:r>
          </w:p>
        </w:tc>
        <w:tc>
          <w:tcPr>
            <w:tcW w:type="dxa" w:w="259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5"/>
              </w:rPr>
              <w:t>Reusable admin/product primitives; prepare catalogue model.</w:t>
            </w:r>
          </w:p>
        </w:tc>
        <w:tc>
          <w:tcPr>
            <w:tcW w:type="dxa" w:w="259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5"/>
              </w:rPr>
              <w:t>Homepage, navigation, four research service pages, proposal form and proof structures.</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5"/>
              </w:rPr>
              <w:t>26-48</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5"/>
              </w:rPr>
              <w:t>Commerce core</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5"/>
              </w:rPr>
              <w:t>Payment/courier interfaces; order states; database migrations; background jobs.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5"/>
              </w:rPr>
              <w:t>Catalogue, product pages, cart, checkout, invoices, order operations and customer order view.</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5"/>
              </w:rPr>
              <w:t>Responsive commerce UI, product/search/filter UX, tracking and technical SEO implementation.</w:t>
            </w:r>
          </w:p>
        </w:tc>
      </w:tr>
      <w:tr>
        <w:tc>
          <w:tcPr>
            <w:tcW w:type="dxa" w:w="1037"/>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5"/>
              </w:rPr>
              <w:t>49-60</w:t>
            </w:r>
          </w:p>
        </w:tc>
        <w:tc>
          <w:tcPr>
            <w:tcW w:type="dxa" w:w="151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5"/>
              </w:rPr>
              <w:t>CRM and automation</w:t>
            </w:r>
          </w:p>
        </w:tc>
        <w:tc>
          <w:tcPr>
            <w:tcW w:type="dxa" w:w="259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5"/>
              </w:rPr>
              <w:t>Tasking, lead owner, acknowledgements, proposal cadence, cart/reorder workflows and webhooks.</w:t>
            </w:r>
          </w:p>
        </w:tc>
        <w:tc>
          <w:tcPr>
            <w:tcW w:type="dxa" w:w="259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5"/>
              </w:rPr>
              <w:t>Admin order/support workspaces; coupon and inventory behaviour.</w:t>
            </w:r>
          </w:p>
        </w:tc>
        <w:tc>
          <w:tcPr>
            <w:tcW w:type="dxa" w:w="259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5"/>
              </w:rPr>
              <w:t>CRM pipeline UI, consultation flow, dashboards, content-review states and marketing tags.</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5"/>
              </w:rPr>
              <w:t>61-70</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5"/>
              </w:rPr>
              <w:t>Acceptance and hardening</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5"/>
              </w:rPr>
              <w:t>Backups/restore; rate limits; logs; security fixes; production runbook.</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5"/>
              </w:rPr>
              <w:t>Commerce UAT fixes; reconciliation and operational test cases.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5"/>
              </w:rPr>
              <w:t>Accessibility, performance, browser/mobile QA; analytics validation; launch checklists.</w:t>
            </w:r>
          </w:p>
        </w:tc>
      </w:tr>
    </w:tbl>
    <w:p>
      <w:pPr>
        <w:spacing w:after="60"/>
      </w:pPr>
    </w:p>
    <w:p>
      <w:pPr>
        <w:pStyle w:val="Heading2"/>
      </w:pPr>
      <w:r>
        <w:t>Work plan continued</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037"/>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5"/>
              </w:rPr>
              <w:t>Days</w:t>
            </w:r>
          </w:p>
        </w:tc>
        <w:tc>
          <w:tcPr>
            <w:tcW w:type="dxa" w:w="1512"/>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5"/>
              </w:rPr>
              <w:t>Objective</w:t>
            </w:r>
          </w:p>
        </w:tc>
        <w:tc>
          <w:tcPr>
            <w:tcW w:type="dxa" w:w="2592"/>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5"/>
              </w:rPr>
              <w:t>A Backend Lead</w:t>
            </w:r>
          </w:p>
        </w:tc>
        <w:tc>
          <w:tcPr>
            <w:tcW w:type="dxa" w:w="2592"/>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5"/>
              </w:rPr>
              <w:t>B Commerce</w:t>
            </w:r>
          </w:p>
        </w:tc>
        <w:tc>
          <w:tcPr>
            <w:tcW w:type="dxa" w:w="2592"/>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5"/>
              </w:rPr>
              <w:t>C Frontend and Growth</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5"/>
              </w:rPr>
              <w:t>71-75</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5"/>
              </w:rPr>
              <w:t>Launch and handover</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5"/>
              </w:rPr>
              <w:t>Production release and monitoring.</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5"/>
              </w:rPr>
              <w:t>Order-flow smoke tests and admin training.</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5"/>
              </w:rPr>
              <w:t>Go-live validation, dashboard baseline, CERA team handover.</w:t>
            </w:r>
          </w:p>
        </w:tc>
      </w:tr>
    </w:tbl>
    <w:p>
      <w:pPr>
        <w:spacing w:after="60"/>
      </w:pPr>
    </w:p>
    <w:p>
      <w:pPr>
        <w:pStyle w:val="Heading1"/>
      </w:pPr>
      <w:r>
        <w:t>Critical acceptance gates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584"/>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Gate</w:t>
            </w:r>
          </w:p>
        </w:tc>
        <w:tc>
          <w:tcPr>
            <w:tcW w:type="dxa" w:w="8352"/>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Must be approved before the next gate</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Day 10</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Scope, role matrix, final information architecture, payment/courier choice, content owner and target launch rules.</w:t>
            </w:r>
          </w:p>
        </w:tc>
      </w:tr>
      <w:tr>
        <w:tc>
          <w:tcPr>
            <w:tcW w:type="dxa" w:w="1584"/>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Day 25</w:t>
            </w:r>
          </w:p>
        </w:tc>
        <w:tc>
          <w:tcPr>
            <w:tcW w:type="dxa" w:w="835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Homepage/research copy, approved trust metrics, proposal form fields and CRM pipeline stages.</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Day 48</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Product data, approved claims/warnings, shipping rates, payment test account and full order acceptance cases.</w:t>
            </w:r>
          </w:p>
        </w:tc>
      </w:tr>
      <w:tr>
        <w:tc>
          <w:tcPr>
            <w:tcW w:type="dxa" w:w="1584"/>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Day 60</w:t>
            </w:r>
          </w:p>
        </w:tc>
        <w:tc>
          <w:tcPr>
            <w:tcW w:type="dxa" w:w="835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Automated message copy, email/WhatsApp provider access, final legal/policy text and all scientific/compliance approvals.</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Day 70</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UAT sign-off, backup restore evidence, security/performance/accessibility test results and production go-live authority.</w:t>
            </w:r>
          </w:p>
        </w:tc>
      </w:tr>
    </w:tbl>
    <w:p>
      <w:pPr>
        <w:spacing w:after="60"/>
      </w:pPr>
    </w:p>
    <w:p>
      <w:pPr>
        <w:pStyle w:val="Heading1"/>
      </w:pPr>
      <w:r>
        <w:t>Schedule protections</w:t>
      </w:r>
    </w:p>
    <w:p>
      <w:pPr>
        <w:pStyle w:val="ListBullet"/>
        <w:spacing w:after="40"/>
      </w:pPr>
      <w:r>
        <w:rPr>
          <w:rFonts w:ascii="Aptos" w:hAnsi="Aptos"/>
          <w:b w:val="0"/>
        </w:rPr>
        <w:t>Run a weekly 30-minute decision meeting. Unanswered CERA decisions pause only the affected feature, but delays in content, gateway approval or compliance approval can move launch.</w:t>
      </w:r>
    </w:p>
    <w:p>
      <w:pPr>
        <w:pStyle w:val="ListBullet"/>
        <w:spacing w:after="40"/>
      </w:pPr>
      <w:r>
        <w:rPr>
          <w:rFonts w:ascii="Aptos" w:hAnsi="Aptos"/>
          <w:b w:val="0"/>
        </w:rPr>
        <w:t>Ship P0/P1 blueprint requirements in the first release. Defer wholesale portal, subscriptions, loyalty, referrals and AI assistants to a post-launch roadmap.</w:t>
      </w:r>
    </w:p>
    <w:p>
      <w:pPr>
        <w:pStyle w:val="ListBullet"/>
        <w:spacing w:after="40"/>
      </w:pPr>
      <w:r>
        <w:rPr>
          <w:rFonts w:ascii="Aptos" w:hAnsi="Aptos"/>
          <w:b w:val="0"/>
        </w:rPr>
        <w:t>Maintain a change log. Any requested feature that changes data model, checkout, workflow or compliance review is estimated before it enters a sprint.</w:t>
      </w:r>
    </w:p>
    <w:p>
      <w:pPr>
        <w:pStyle w:val="ListBullet"/>
        <w:spacing w:after="40"/>
      </w:pPr>
      <w:r>
        <w:rPr>
          <w:rFonts w:ascii="Aptos" w:hAnsi="Aptos"/>
          <w:b w:val="0"/>
        </w:rPr>
        <w:t>Use two staged client demonstrations each week from day 11 onwards, rather than a single end-of-project reveal.</w:t>
      </w:r>
    </w:p>
    <w:p>
      <w:pPr>
        <w:pStyle w:val="Heading1"/>
      </w:pPr>
      <w:r>
        <w:t>Sources and planning notes</w:t>
      </w:r>
    </w:p>
    <w:p>
      <w:r>
        <w:rPr>
          <w:rFonts w:ascii="Aptos" w:hAnsi="Aptos"/>
          <w:b w:val="0"/>
        </w:rPr>
        <w:t>Provider prices are current web-published references checked in September 2026. PKR figures that depend on USD are planning estimates at PKR 300 per USD, excluding bank conversion charges, sales tax and future provider price changes.</w:t>
      </w:r>
    </w:p>
    <w:p>
      <w:pPr>
        <w:pStyle w:val="ListBullet"/>
      </w:pPr>
      <w:r>
        <w:rPr>
          <w:rFonts w:ascii="Aptos" w:hAnsi="Aptos"/>
          <w:b/>
          <w:sz w:val="17"/>
        </w:rPr>
        <w:t xml:space="preserve">CERA Blueprint: suggested 90-day launch sequence and scope-control guidance: </w:t>
      </w:r>
      <w:r>
        <w:rPr>
          <w:rFonts w:ascii="Aptos" w:hAnsi="Aptos"/>
          <w:b w:val="0"/>
          <w:color w:val="1A5A96"/>
          <w:sz w:val="17"/>
        </w:rPr>
        <w:t>file:///home/saad/CERA_Medical_Digital_Growth_Blueprint_Stack_and_Scale.pdf</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b w:val="0"/>
        <w:color w:val="555555"/>
        <w:sz w:val="17"/>
      </w:rPr>
      <w:t>CERA Medical decision pack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