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ptos" w:hAnsi="Aptos"/>
          <w:b/>
          <w:sz w:val="44"/>
        </w:rPr>
        <w:t>Implementation Risks Dependencies and Discovery Checklist</w:t>
      </w:r>
    </w:p>
    <w:p>
      <w:pPr>
        <w:spacing w:after="240"/>
      </w:pPr>
      <w:r>
        <w:rPr>
          <w:rFonts w:ascii="Aptos" w:hAnsi="Aptos"/>
          <w:b w:val="0"/>
          <w:color w:val="0F6B6D"/>
          <w:sz w:val="20"/>
        </w:rPr>
        <w:t>Pre-project controls for a compliant, launchable CERA Medical revenue system</w:t>
      </w:r>
    </w:p>
    <w:p>
      <w:r>
        <w:rPr>
          <w:rFonts w:ascii="Aptos" w:hAnsi="Aptos"/>
          <w:b/>
        </w:rPr>
        <w:t xml:space="preserve">Readiness conclusion </w:t>
      </w:r>
      <w:r>
        <w:rPr>
          <w:rFonts w:ascii="Aptos" w:hAnsi="Aptos"/>
          <w:b w:val="0"/>
        </w:rPr>
        <w:t>The largest project risks are not coding risks. They are approval delays, unverified scientific/product statements, payment and courier onboarding, incomplete operational rules, ownership of external accounts and unsecured research files. Resolve these items during discovery so the team does not build workflow around assumptions.</w:t>
      </w:r>
    </w:p>
    <w:p>
      <w:pPr>
        <w:pStyle w:val="Heading1"/>
      </w:pPr>
      <w:r>
        <w:t>Implementation risk register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9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6"/>
              </w:rPr>
              <w:t>Risk</w:t>
            </w:r>
          </w:p>
        </w:tc>
        <w:tc>
          <w:tcPr>
            <w:tcW w:type="dxa" w:w="223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6"/>
              </w:rPr>
              <w:t>Impact</w:t>
            </w:r>
          </w:p>
        </w:tc>
        <w:tc>
          <w:tcPr>
            <w:tcW w:type="dxa" w:w="511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6"/>
              </w:rPr>
              <w:t>Control and owner</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Product claims or reviews make unapproved therapeutic statements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Regulatory, brand and platform risk</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Create approved-claim/warning fields and a compliance-review workflow. CERA scientific/regulatory owner signs off each product page, campaign and moderated review policy.</w:t>
            </w:r>
          </w:p>
        </w:tc>
      </w:tr>
      <w:tr>
        <w:tc>
          <w:tcPr>
            <w:tcW w:type="dxa" w:w="259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Payment gateway or courier approval is late</w:t>
            </w:r>
          </w:p>
        </w:tc>
        <w:tc>
          <w:tcPr>
            <w:tcW w:type="dxa" w:w="223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Checkout cannot launch completely</w:t>
            </w:r>
          </w:p>
        </w:tc>
        <w:tc>
          <w:tcPr>
            <w:tcW w:type="dxa" w:w="511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Apply in week 1; select one primary and one fallback payment method such as COD/bank transfer; use sandbox credentials by day 20.</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Research attachments expose confidential information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Commercial, privacy and reputational harm</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Private object storage, strict RBAC, signed links, validation, retention rules and no public attachment URLs. CERA defines access and retention policy.</w:t>
            </w:r>
          </w:p>
        </w:tc>
      </w:tr>
      <w:tr>
        <w:tc>
          <w:tcPr>
            <w:tcW w:type="dxa" w:w="259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Client evidence/content is late or unverifiable</w:t>
            </w:r>
          </w:p>
        </w:tc>
        <w:tc>
          <w:tcPr>
            <w:tcW w:type="dxa" w:w="223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Trust pages and product/service pages stall</w:t>
            </w:r>
          </w:p>
        </w:tc>
        <w:tc>
          <w:tcPr>
            <w:tcW w:type="dxa" w:w="511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Assign a CERA content owner; maintain evidence register; only publish substantiated statistics, methods, credentials and publications.</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No clear fulfilment/returns process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Order errors, refunds and support burden</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Document payment confirmation, packing, courier handoff, tracking, cancellation, return and escalation before commerce build.</w:t>
            </w:r>
          </w:p>
        </w:tc>
      </w:tr>
      <w:tr>
        <w:tc>
          <w:tcPr>
            <w:tcW w:type="dxa" w:w="259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External accounts belong to vendor staff</w:t>
            </w:r>
          </w:p>
        </w:tc>
        <w:tc>
          <w:tcPr>
            <w:tcW w:type="dxa" w:w="223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Lockout and long-term dependency</w:t>
            </w:r>
          </w:p>
        </w:tc>
        <w:tc>
          <w:tcPr>
            <w:tcW w:type="dxa" w:w="511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All critical accounts owned by CERA with MFA and recovery contacts; vendor gets least-privilege access.</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Scope expands into wholesale, loyalty or AI</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Timeline and budget overrun</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Lock P0/P1 release scope; process later features as paid phase-two items after baseline data is available.</w:t>
            </w:r>
          </w:p>
        </w:tc>
      </w:tr>
      <w:tr>
        <w:tc>
          <w:tcPr>
            <w:tcW w:type="dxa" w:w="259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Analytics fires but cannot join revenue/pipeline</w:t>
            </w:r>
          </w:p>
        </w:tc>
        <w:tc>
          <w:tcPr>
            <w:tcW w:type="dxa" w:w="223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Marketing decisions remain guesswork</w:t>
            </w:r>
          </w:p>
        </w:tc>
        <w:tc>
          <w:tcPr>
            <w:tcW w:type="dxa" w:w="511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Define event taxonomy and CRM attribution fields before implementation; test purchases and research leads end to end.</w:t>
            </w:r>
          </w:p>
        </w:tc>
      </w:tr>
    </w:tbl>
    <w:p>
      <w:pPr>
        <w:spacing w:after="60"/>
      </w:pPr>
    </w:p>
    <w:p>
      <w:pPr>
        <w:pStyle w:val="Heading1"/>
      </w:pPr>
      <w:r>
        <w:t>Pre-project discovery checklist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6"/>
              </w:rPr>
              <w:t>Area</w:t>
            </w:r>
          </w:p>
        </w:tc>
        <w:tc>
          <w:tcPr>
            <w:tcW w:type="dxa" w:w="7704"/>
            <w:shd w:fill="173B4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ptos" w:hAnsi="Aptos"/>
                <w:b/>
                <w:color w:val="FFFFFF"/>
                <w:sz w:val="16"/>
              </w:rPr>
              <w:t>Required CERA input before build</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Access and ownership</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Registrar, Cloudflare, current hosting, source repository, analytics, Search Console, domain email, payment/courier portals and recovery contacts.</w:t>
            </w:r>
          </w:p>
        </w:tc>
      </w:tr>
      <w:tr>
        <w:tc>
          <w:tcPr>
            <w:tcW w:type="dxa" w:w="223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Product catalogue</w:t>
            </w:r>
          </w:p>
        </w:tc>
        <w:tc>
          <w:tcPr>
            <w:tcW w:type="dxa" w:w="7704"/>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SKU list, prices, variants, stock policy, ingredients, usage, warnings, storage, images, approved claims, regulatory/enlistment references and return eligibility.</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Research services</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Scope/methods, sample rules, deliverables, timeline ranges, pricing/proposal policy, consultation availability, NDA/confidentiality process and secure-file rules.</w:t>
            </w:r>
          </w:p>
        </w:tc>
      </w:tr>
      <w:tr>
        <w:tc>
          <w:tcPr>
            <w:tcW w:type="dxa" w:w="223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Proof and content</w:t>
            </w:r>
          </w:p>
        </w:tc>
        <w:tc>
          <w:tcPr>
            <w:tcW w:type="dxa" w:w="7704"/>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Verified years, projects, publications, partnerships, researcher bios, facility/equipment information, real photography, permitted case studies and approved testimonials.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Commerce operations</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Payment methods, tax/invoice requirements, serviceable cities, delivery costs, free-shipping policy, courier pickup, packing, COD reconciliation, returns and escalation owner.</w:t>
            </w:r>
          </w:p>
        </w:tc>
      </w:tr>
      <w:tr>
        <w:tc>
          <w:tcPr>
            <w:tcW w:type="dxa" w:w="223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CRM and customer service</w:t>
            </w:r>
          </w:p>
        </w:tc>
        <w:tc>
          <w:tcPr>
            <w:tcW w:type="dxa" w:w="7704"/>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Pipeline stages, lead owner, response SLA, proposal approval, contact routing, support responsibilities, current customer data and consent rules.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Compliance and legal</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Product classification, claims approval, advertisement approval status where applicable, privacy notice, terms, shipping/return policy, cookie policy and reviewer names.</w:t>
            </w:r>
          </w:p>
        </w:tc>
      </w:tr>
      <w:tr>
        <w:tc>
          <w:tcPr>
            <w:tcW w:type="dxa" w:w="2232"/>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Growth and measurement</w:t>
            </w:r>
          </w:p>
        </w:tc>
        <w:tc>
          <w:tcPr>
            <w:tcW w:type="dxa" w:w="7704"/>
            <w:shd w:fill="EEF5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Aptos" w:hAnsi="Aptos"/>
                <w:b w:val="0"/>
                <w:sz w:val="16"/>
              </w:rPr>
              <w:t>Target customer segments, priority products/services, campaign channels, UTM naming, KPIs, dashboard recipients and paid-media approval process.</w:t>
            </w:r>
          </w:p>
        </w:tc>
      </w:tr>
    </w:tbl>
    <w:p>
      <w:pPr>
        <w:spacing w:after="60"/>
      </w:pPr>
    </w:p>
    <w:p>
      <w:pPr>
        <w:pStyle w:val="Heading1"/>
      </w:pPr>
      <w:r>
        <w:t>Minimum launch evidence</w:t>
      </w:r>
    </w:p>
    <w:p>
      <w:pPr>
        <w:pStyle w:val="ListBullet"/>
        <w:spacing w:after="40"/>
      </w:pPr>
      <w:r>
        <w:rPr>
          <w:rFonts w:ascii="Aptos" w:hAnsi="Aptos"/>
          <w:b w:val="0"/>
        </w:rPr>
        <w:t>An end-to-end order has been placed using each enabled payment method and has reached delivered/refunded status in test or controlled production mode.</w:t>
      </w:r>
    </w:p>
    <w:p>
      <w:pPr>
        <w:pStyle w:val="ListBullet"/>
        <w:spacing w:after="40"/>
      </w:pPr>
      <w:r>
        <w:rPr>
          <w:rFonts w:ascii="Aptos" w:hAnsi="Aptos"/>
          <w:b w:val="0"/>
        </w:rPr>
        <w:t>A research enquiry with an attachment creates the correct CRM contact, opportunity, owner task, acknowledgement and audit trail without exposing its file publicly.</w:t>
      </w:r>
    </w:p>
    <w:p>
      <w:pPr>
        <w:pStyle w:val="ListBullet"/>
        <w:spacing w:after="40"/>
      </w:pPr>
      <w:r>
        <w:rPr>
          <w:rFonts w:ascii="Aptos" w:hAnsi="Aptos"/>
          <w:b w:val="0"/>
        </w:rPr>
        <w:t>Domain email SPF, DKIM and DMARC are configured and tested; only CERA-owned addresses appear publicly.</w:t>
      </w:r>
    </w:p>
    <w:p>
      <w:pPr>
        <w:pStyle w:val="ListBullet"/>
        <w:spacing w:after="40"/>
      </w:pPr>
      <w:r>
        <w:rPr>
          <w:rFonts w:ascii="Aptos" w:hAnsi="Aptos"/>
          <w:b w:val="0"/>
        </w:rPr>
        <w:t>All public product claims, warnings, scientific summaries, counters and testimonials have named evidence and reviewer approval.</w:t>
      </w:r>
    </w:p>
    <w:p>
      <w:pPr>
        <w:pStyle w:val="ListBullet"/>
        <w:spacing w:after="40"/>
      </w:pPr>
      <w:r>
        <w:rPr>
          <w:rFonts w:ascii="Aptos" w:hAnsi="Aptos"/>
          <w:b w:val="0"/>
        </w:rPr>
        <w:t>A backup restore has been performed and documented; privileged access, form abuse controls and critical error alerts are tested.</w:t>
      </w:r>
    </w:p>
    <w:p>
      <w:pPr>
        <w:pStyle w:val="Heading1"/>
      </w:pPr>
      <w:r>
        <w:t>Compliance boundary</w:t>
      </w:r>
    </w:p>
    <w:p>
      <w:r>
        <w:rPr>
          <w:rFonts w:ascii="Aptos" w:hAnsi="Aptos"/>
          <w:b w:val="0"/>
        </w:rPr>
        <w:t>The platform should enforce conservative content governance, but it cannot determine legal product classification or approve therapeutic advertising. DRAP's published guidance covers promotion of therapeutic goods, including alternative medicines and products promoted for therapeutic use, and its e-services portal offers an advertisement-approval service. CERA should obtain qualified regulatory/legal review before publishing or promoting claims that require it.</w:t>
      </w:r>
    </w:p>
    <w:p>
      <w:pPr>
        <w:pStyle w:val="Heading1"/>
      </w:pPr>
      <w:r>
        <w:t>Sources and planning notes</w:t>
      </w:r>
    </w:p>
    <w:p>
      <w:r>
        <w:rPr>
          <w:rFonts w:ascii="Aptos" w:hAnsi="Aptos"/>
          <w:b w:val="0"/>
        </w:rPr>
        <w:t>Provider prices are current web-published references checked in September 2026. PKR figures that depend on USD are planning estimates at PKR 300 per USD, excluding bank conversion charges, sales tax and future provider price changes.</w:t>
      </w:r>
    </w:p>
    <w:p>
      <w:pPr>
        <w:pStyle w:val="ListBullet"/>
      </w:pPr>
      <w:r>
        <w:rPr>
          <w:rFonts w:ascii="Aptos" w:hAnsi="Aptos"/>
          <w:b/>
          <w:sz w:val="17"/>
        </w:rPr>
        <w:t xml:space="preserve">CERA Blueprint: assumptions, limitations, security and compliance requirements: </w:t>
      </w:r>
      <w:r>
        <w:rPr>
          <w:rFonts w:ascii="Aptos" w:hAnsi="Aptos"/>
          <w:b w:val="0"/>
          <w:color w:val="1A5A96"/>
          <w:sz w:val="17"/>
        </w:rPr>
        <w:t>file:///home/saad/CERA_Medical_Digital_Growth_Blueprint_Stack_and_Scale.pdf</w:t>
      </w:r>
    </w:p>
    <w:p>
      <w:pPr>
        <w:pStyle w:val="ListBullet"/>
      </w:pPr>
      <w:r>
        <w:rPr>
          <w:rFonts w:ascii="Aptos" w:hAnsi="Aptos"/>
          <w:b/>
          <w:sz w:val="17"/>
        </w:rPr>
        <w:t xml:space="preserve">DRAP Advertisement of Therapeutic Goods Guidelines: </w:t>
      </w:r>
      <w:r>
        <w:rPr>
          <w:rFonts w:ascii="Aptos" w:hAnsi="Aptos"/>
          <w:b w:val="0"/>
          <w:color w:val="1A5A96"/>
          <w:sz w:val="17"/>
        </w:rPr>
        <w:t>https://www.dra.gov.pk/wp-content/uploads/2022/02/ADVERTISEMENT-OF-THERAPEUTIC-GOODS-.pdf</w:t>
      </w:r>
    </w:p>
    <w:p>
      <w:pPr>
        <w:pStyle w:val="ListBullet"/>
      </w:pPr>
      <w:r>
        <w:rPr>
          <w:rFonts w:ascii="Aptos" w:hAnsi="Aptos"/>
          <w:b/>
          <w:sz w:val="17"/>
        </w:rPr>
        <w:t xml:space="preserve">DRAP guidelines index: </w:t>
      </w:r>
      <w:r>
        <w:rPr>
          <w:rFonts w:ascii="Aptos" w:hAnsi="Aptos"/>
          <w:b w:val="0"/>
          <w:color w:val="1A5A96"/>
          <w:sz w:val="17"/>
        </w:rPr>
        <w:t>https://www.dra.gov.pk/publications/guidelines</w:t>
      </w:r>
    </w:p>
    <w:p>
      <w:pPr>
        <w:pStyle w:val="ListBullet"/>
      </w:pPr>
      <w:r>
        <w:rPr>
          <w:rFonts w:ascii="Aptos" w:hAnsi="Aptos"/>
          <w:b/>
          <w:sz w:val="17"/>
        </w:rPr>
        <w:t xml:space="preserve">DRAP e-services: therapeutic goods advertisement: </w:t>
      </w:r>
      <w:r>
        <w:rPr>
          <w:rFonts w:ascii="Aptos" w:hAnsi="Aptos"/>
          <w:b w:val="0"/>
          <w:color w:val="1A5A96"/>
          <w:sz w:val="17"/>
        </w:rPr>
        <w:t>https://e.dra.gov.pk/</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b w:val="0"/>
        <w:color w:val="555555"/>
        <w:sz w:val="17"/>
      </w:rPr>
      <w:t>CERA Medical decision pack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