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sz w:val="44"/>
        </w:rPr>
        <w:t>Executive Decision Memo</w:t>
      </w:r>
    </w:p>
    <w:p>
      <w:pPr>
        <w:spacing w:after="240"/>
      </w:pPr>
      <w:r>
        <w:rPr>
          <w:rFonts w:ascii="Aptos" w:hAnsi="Aptos"/>
          <w:b w:val="0"/>
          <w:color w:val="0F6B6D"/>
          <w:sz w:val="20"/>
        </w:rPr>
        <w:t>CERA Medical digital growth and revenue transformation first release</w:t>
      </w:r>
    </w:p>
    <w:p>
      <w:r>
        <w:rPr>
          <w:rFonts w:ascii="Aptos" w:hAnsi="Aptos"/>
          <w:b/>
        </w:rPr>
        <w:t xml:space="preserve">Recommendation </w:t>
      </w:r>
      <w:r>
        <w:rPr>
          <w:rFonts w:ascii="Aptos" w:hAnsi="Aptos"/>
          <w:b w:val="0"/>
        </w:rPr>
        <w:t>Approve a custom, phased revenue platform on ceramed.org: a consumer shop and a distinct B2B research funnel, joined by one CRM, automation and measurement layer. Retain the .org domain, add defensive registrations only if available, and launch on a production virtual server with Cloudflare protection rather than ordinary shared hosting.</w:t>
      </w:r>
    </w:p>
    <w:p>
      <w:pPr>
        <w:pStyle w:val="Heading1"/>
      </w:pPr>
      <w:r>
        <w:t>What the blueprint establishes</w:t>
      </w:r>
    </w:p>
    <w:p>
      <w:r>
        <w:rPr>
          <w:rFonts w:ascii="Aptos" w:hAnsi="Aptos"/>
          <w:b w:val="0"/>
        </w:rPr>
        <w:t>CERA has two different commercial motions that currently need to become operational: health-product sales and high-consideration biomedical research services. The blueprint correctly identifies that an attractive brochure site is insufficient. CERA needs direct commerce, qualified research intake, visible sales ownership, credible proof, governed health content and analytics tied to revenue rather than visits.</w:t>
      </w:r>
    </w:p>
    <w:p>
      <w:pPr>
        <w:pStyle w:val="Heading1"/>
      </w:pPr>
      <w:r>
        <w:t>Decisions requested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Decision</w:t>
            </w:r>
          </w:p>
        </w:tc>
        <w:tc>
          <w:tcPr>
            <w:tcW w:type="dxa" w:w="4320"/>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Recommended answer</w:t>
            </w:r>
          </w:p>
        </w:tc>
        <w:tc>
          <w:tcPr>
            <w:tcW w:type="dxa" w:w="3888"/>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Why now</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Platform</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Custom first-release platform with server-rendered public pages, custom commerce, CRM and automation.</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The requirements cross ecommerce, secure research files, order operations and B2B pipeline; plugin-only shared hosting is a poor fit.</w:t>
            </w:r>
          </w:p>
        </w:tc>
      </w:tr>
      <w:tr>
        <w:tc>
          <w:tcPr>
            <w:tcW w:type="dxa" w:w="165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Hosting</w:t>
            </w:r>
          </w:p>
        </w:tc>
        <w:tc>
          <w:tcPr>
            <w:tcW w:type="dxa" w:w="432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Hetzner CPX32-class EU server, Cloudflare Pro, private R2 storage, backups and monitoring.</w:t>
            </w:r>
          </w:p>
        </w:tc>
        <w:tc>
          <w:tcPr>
            <w:tcW w:type="dxa" w:w="388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Production capability at about PKR 22,700-32,700/month fixed infrastructure baseline, before usage fees.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Domain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Keep ceramed.org as primary. Buy ceramed.com and a relevant .pk only for defensive redirect if available.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Preserves established identity and avoids avoidable SEO and email disruption.</w:t>
            </w:r>
          </w:p>
        </w:tc>
      </w:tr>
      <w:tr>
        <w:tc>
          <w:tcPr>
            <w:tcW w:type="dxa" w:w="165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Budget</w:t>
            </w:r>
          </w:p>
        </w:tc>
        <w:tc>
          <w:tcPr>
            <w:tcW w:type="dxa" w:w="432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PKR 4,250,000 excluding taxes and vendor charges for the defined first release.</w:t>
            </w:r>
          </w:p>
        </w:tc>
        <w:tc>
          <w:tcPr>
            <w:tcW w:type="dxa" w:w="388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Reflects a custom operational system, not a template website.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Delivery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75 working days with three developers; target launch around week 15.</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 90-calendar-day launch is possible only with unusually fast approvals and ready content.</w:t>
            </w:r>
          </w:p>
        </w:tc>
      </w:tr>
      <w:tr>
        <w:tc>
          <w:tcPr>
            <w:tcW w:type="dxa" w:w="165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Governance</w:t>
            </w:r>
          </w:p>
        </w:tc>
        <w:tc>
          <w:tcPr>
            <w:tcW w:type="dxa" w:w="432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CERA owns all accounts; scientific/regulatory reviewer approves claims and proof before publication.</w:t>
            </w:r>
          </w:p>
        </w:tc>
        <w:tc>
          <w:tcPr>
            <w:tcW w:type="dxa" w:w="388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Prevents vendor lock-in and reduces compliance/trust risk.</w:t>
            </w:r>
          </w:p>
        </w:tc>
      </w:tr>
    </w:tbl>
    <w:p>
      <w:pPr>
        <w:spacing w:after="60"/>
      </w:pPr>
    </w:p>
    <w:p>
      <w:pPr>
        <w:pStyle w:val="Heading1"/>
      </w:pPr>
      <w:r>
        <w:t>First-release outcomes</w:t>
      </w:r>
    </w:p>
    <w:p>
      <w:pPr>
        <w:pStyle w:val="ListBullet"/>
        <w:spacing w:after="40"/>
      </w:pPr>
      <w:r>
        <w:rPr>
          <w:rFonts w:ascii="Aptos" w:hAnsi="Aptos"/>
          <w:b w:val="0"/>
        </w:rPr>
        <w:t>A buyer can discover a product, see approved information, buy through a clear checkout, receive status updates and be invited to reorder.</w:t>
      </w:r>
    </w:p>
    <w:p>
      <w:pPr>
        <w:pStyle w:val="ListBullet"/>
        <w:spacing w:after="40"/>
      </w:pPr>
      <w:r>
        <w:rPr>
          <w:rFonts w:ascii="Aptos" w:hAnsi="Aptos"/>
          <w:b w:val="0"/>
        </w:rPr>
        <w:t>A research prospect can enter through the right service page, submit a qualified brief securely, enter a defined CRM pipeline and receive systematic follow-up.</w:t>
      </w:r>
    </w:p>
    <w:p>
      <w:pPr>
        <w:pStyle w:val="ListBullet"/>
        <w:spacing w:after="40"/>
      </w:pPr>
      <w:r>
        <w:rPr>
          <w:rFonts w:ascii="Aptos" w:hAnsi="Aptos"/>
          <w:b w:val="0"/>
        </w:rPr>
        <w:t>CERA can see orders, revenue, lead source, pipeline value, response speed and core funnel conversion instead of relying on inbox memory.</w:t>
      </w:r>
    </w:p>
    <w:p>
      <w:pPr>
        <w:pStyle w:val="ListBullet"/>
        <w:spacing w:after="40"/>
      </w:pPr>
      <w:r>
        <w:rPr>
          <w:rFonts w:ascii="Aptos" w:hAnsi="Aptos"/>
          <w:b w:val="0"/>
        </w:rPr>
        <w:t>The public brand uses consistent domain-based contact identity, evidence-backed proof and a content-review process suited to biomedical communication.</w:t>
      </w:r>
    </w:p>
    <w:p>
      <w:pPr>
        <w:pStyle w:val="Heading1"/>
      </w:pPr>
      <w:r>
        <w:t>Conditions for approval</w:t>
      </w:r>
    </w:p>
    <w:p>
      <w:r>
        <w:rPr>
          <w:rFonts w:ascii="Aptos" w:hAnsi="Aptos"/>
          <w:b w:val="0"/>
        </w:rPr>
        <w:t>Approve the project with a scope lock on the P0/P1 first release. Nominate one CERA commercial owner, one operations owner and one scientific/compliance reviewer. Submit payment-gateway and courier applications immediately. Give the delivery team access to current code, hosting and analytics in week one. Defer wholesale, loyalty, subscriptions, referrals and AI assistants until post-launch data shows their value.</w:t>
      </w:r>
    </w:p>
    <w:p>
      <w:pPr>
        <w:pStyle w:val="Heading1"/>
      </w:pPr>
      <w:r>
        <w:t>Immediate next actions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Week</w:t>
            </w:r>
          </w:p>
        </w:tc>
        <w:tc>
          <w:tcPr>
            <w:tcW w:type="dxa" w:w="6408"/>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Action</w:t>
            </w:r>
          </w:p>
        </w:tc>
        <w:tc>
          <w:tcPr>
            <w:tcW w:type="dxa" w:w="1944"/>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CERA owner</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Week 1</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Confirm scope, contract, account ownership and discovery attendees; provide current system access.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Executive sponsor</w:t>
            </w:r>
          </w:p>
        </w:tc>
      </w:tr>
      <w:tr>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Week 1</w:t>
            </w:r>
          </w:p>
        </w:tc>
        <w:tc>
          <w:tcPr>
            <w:tcW w:type="dxa" w:w="640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Submit payment gateway and courier onboarding; confirm fulfilment workflow.</w:t>
            </w:r>
          </w:p>
        </w:tc>
        <w:tc>
          <w:tcPr>
            <w:tcW w:type="dxa" w:w="194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Operations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Week 1-2</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Deliver verified product, research, publication, photography and policy materials; nominate reviewers.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Commercial and scientific leads</w:t>
            </w:r>
          </w:p>
        </w:tc>
      </w:tr>
      <w:tr>
        <w:tc>
          <w:tcPr>
            <w:tcW w:type="dxa" w:w="15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Week 2</w:t>
            </w:r>
          </w:p>
        </w:tc>
        <w:tc>
          <w:tcPr>
            <w:tcW w:type="dxa" w:w="6408"/>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Approve architecture, CMS claim controls, CRM stages and measurement plan.</w:t>
            </w:r>
          </w:p>
        </w:tc>
        <w:tc>
          <w:tcPr>
            <w:tcW w:type="dxa" w:w="194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Executive sponsor</w:t>
            </w:r>
          </w:p>
        </w:tc>
      </w:tr>
    </w:tbl>
    <w:p>
      <w:pPr>
        <w:spacing w:after="60"/>
      </w:pPr>
    </w:p>
    <w:p>
      <w:pPr>
        <w:pStyle w:val="Heading1"/>
      </w:pPr>
      <w:r>
        <w:t>Sources and planning notes</w:t>
      </w:r>
    </w:p>
    <w:p>
      <w:r>
        <w:rPr>
          <w:rFonts w:ascii="Aptos" w:hAnsi="Aptos"/>
          <w:b w:val="0"/>
        </w:rPr>
        <w:t>Provider prices are current web-published references checked in September 2026. PKR figures that depend on USD are planning estimates at PKR 300 per USD, excluding bank conversion charges, sales tax and future provider price changes.</w:t>
      </w:r>
    </w:p>
    <w:p>
      <w:pPr>
        <w:pStyle w:val="ListBullet"/>
      </w:pPr>
      <w:r>
        <w:rPr>
          <w:rFonts w:ascii="Aptos" w:hAnsi="Aptos"/>
          <w:b/>
          <w:sz w:val="17"/>
        </w:rPr>
        <w:t xml:space="preserve">CERA Medical Digital Growth and Revenue Transformation Blueprint: </w:t>
      </w:r>
      <w:r>
        <w:rPr>
          <w:rFonts w:ascii="Aptos" w:hAnsi="Aptos"/>
          <w:b w:val="0"/>
          <w:color w:val="1A5A96"/>
          <w:sz w:val="17"/>
        </w:rPr>
        <w:t>file:///home/saad/CERA_Medical_Digital_Growth_Blueprint_Stack_and_Scale.pdf</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color w:val="555555"/>
        <w:sz w:val="17"/>
      </w:rPr>
      <w:t>CERA Medical decision pack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