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0B5F62"/>
          <w:sz w:val="20"/>
        </w:rPr>
        <w:t>CERA MEDICAL  /  STACK &amp; SCALE</w:t>
      </w:r>
    </w:p>
    <w:p>
      <w:pPr>
        <w:spacing w:before="160" w:after="120"/>
      </w:pPr>
      <w:r>
        <w:rPr>
          <w:rFonts w:ascii="Aptos Display" w:hAnsi="Aptos Display"/>
          <w:b/>
          <w:color w:val="111827"/>
          <w:sz w:val="48"/>
        </w:rPr>
        <w:t>Baseline Infrastructure Agreement</w:t>
      </w:r>
    </w:p>
    <w:p>
      <w:pPr>
        <w:spacing w:after="280" w:line="274" w:lineRule="auto"/>
      </w:pPr>
      <w:r>
        <w:rPr>
          <w:rFonts w:ascii="Aptos" w:hAnsi="Aptos"/>
          <w:b w:val="0"/>
          <w:i w:val="0"/>
          <w:color w:val="374151"/>
          <w:sz w:val="22"/>
        </w:rPr>
        <w:t>Limited baseline agreement for a small CERA Medical launch environment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vAlign w:val="center"/>
            <w:shd w:fill="0B5F62"/>
            <w:tcBorders>
              <w:top w:val="single" w:sz="6" w:color="D9D9D9"/>
              <w:left w:val="single" w:sz="6" w:color="D9D9D9"/>
              <w:bottom w:val="single" w:sz="6" w:color="D9D9D9"/>
              <w:right w:val="single" w:sz="6" w:color="D9D9D9"/>
            </w:tcBorders>
          </w:tcPr>
          <w:p>
            <w:pPr>
              <w:spacing w:after="0"/>
              <w:jc w:val="center"/>
            </w:pPr>
            <w:r/>
            <w:r>
              <w:rPr>
                <w:rFonts w:ascii="Aptos" w:hAnsi="Aptos"/>
                <w:b/>
                <w:color w:val="FFFFFF"/>
                <w:sz w:val="18"/>
              </w:rPr>
              <w:t>Agreement detail</w:t>
            </w:r>
          </w:p>
        </w:tc>
        <w:tc>
          <w:tcPr>
            <w:tcW w:type="dxa" w:w="6912"/>
            <w:vAlign w:val="center"/>
            <w:shd w:fill="0B5F62"/>
            <w:tcBorders>
              <w:top w:val="single" w:sz="6" w:color="D9D9D9"/>
              <w:left w:val="single" w:sz="6" w:color="D9D9D9"/>
              <w:bottom w:val="single" w:sz="6" w:color="D9D9D9"/>
              <w:right w:val="single" w:sz="6" w:color="D9D9D9"/>
            </w:tcBorders>
          </w:tcPr>
          <w:p>
            <w:pPr>
              <w:spacing w:after="0"/>
              <w:jc w:val="center"/>
            </w:pPr>
            <w:r/>
            <w:r>
              <w:rPr>
                <w:rFonts w:ascii="Aptos" w:hAnsi="Aptos"/>
                <w:b/>
                <w:color w:val="FFFFFF"/>
                <w:sz w:val="18"/>
              </w:rPr>
              <w:t>Confirmed term</w:t>
            </w:r>
          </w:p>
        </w:tc>
      </w:tr>
      <w:tr>
        <w:tc>
          <w:tcPr>
            <w:tcW w:type="dxa" w:w="2592"/>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Agreement amount</w:t>
            </w:r>
          </w:p>
        </w:tc>
        <w:tc>
          <w:tcPr>
            <w:tcW w:type="dxa" w:w="6912"/>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PKR 15,000 (Fifteen Thousand Pakistani Rupees only)</w:t>
            </w:r>
          </w:p>
        </w:tc>
      </w:tr>
      <w:tr>
        <w:tc>
          <w:tcPr>
            <w:tcW w:type="dxa" w:w="2592"/>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Target timeline</w:t>
            </w:r>
          </w:p>
        </w:tc>
        <w:tc>
          <w:tcPr>
            <w:tcW w:type="dxa" w:w="6912"/>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Ten (10) working days after first payment, access, and required client materials are received.</w:t>
            </w:r>
          </w:p>
        </w:tc>
      </w:tr>
      <w:tr>
        <w:tc>
          <w:tcPr>
            <w:tcW w:type="dxa" w:w="2592"/>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Platform scale assumed</w:t>
            </w:r>
          </w:p>
        </w:tc>
        <w:tc>
          <w:tcPr>
            <w:tcW w:type="dxa" w:w="6912"/>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Up to approximately 100 customer accounts and 5,000 visits per month at initial launch.</w:t>
            </w:r>
          </w:p>
        </w:tc>
      </w:tr>
      <w:tr>
        <w:tc>
          <w:tcPr>
            <w:tcW w:type="dxa" w:w="2592"/>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Delivery model</w:t>
            </w:r>
          </w:p>
        </w:tc>
        <w:tc>
          <w:tcPr>
            <w:tcW w:type="dxa" w:w="6912"/>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CX43 production server; temporary CX33 staging during active implementation; Docker Compose deployment.</w:t>
            </w:r>
          </w:p>
        </w:tc>
      </w:tr>
    </w:tbl>
    <w:p>
      <w:pPr>
        <w:spacing w:after="80" w:line="274" w:lineRule="auto"/>
      </w:pPr>
      <w:r>
        <w:rPr>
          <w:rFonts w:ascii="Aptos" w:hAnsi="Aptos"/>
          <w:b/>
          <w:i w:val="0"/>
          <w:color w:val="0B5F62"/>
          <w:sz w:val="21"/>
        </w:rPr>
        <w:t>Execution details</w:t>
      </w:r>
    </w:p>
    <w:tbl>
      <w:tblPr>
        <w:tblW w:type="auto" w:w="0"/>
        <w:jc w:val="center"/>
        <w:tblLayout w:type="fixed"/>
        <w:tblLook w:firstColumn="1" w:firstRow="1" w:lastColumn="0" w:lastRow="0" w:noHBand="0" w:noVBand="1" w:val="04A0"/>
      </w:tblPr>
      <w:tblGrid>
        <w:gridCol w:w="2520"/>
        <w:gridCol w:w="7128"/>
      </w:tblGrid>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Effective date</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17 September 2026</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Client</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CERA Medical / legal entity name: ______________________________________________</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Client address</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____________________________________________________________________________</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Authorised signer</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Name: ______________________________  Title: ______________________________</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Service Provider</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Muhammad Saad Khan, trading as Stack &amp; Scale</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Provider address</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____________________________________________________________________________</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Notices email</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Client: ______________________________  Provider: __________________________</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Jurisdiction</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Swabi, Khyber Pakhtunkhwa, Pakistan</w:t>
            </w:r>
          </w:p>
        </w:tc>
      </w:tr>
    </w:tbl>
    <w:p>
      <w:pPr>
        <w:spacing w:before="260" w:after="100"/>
      </w:pPr>
      <w:r>
        <w:rPr>
          <w:rFonts w:ascii="Aptos Display" w:hAnsi="Aptos Display"/>
          <w:b/>
          <w:color w:val="111827"/>
          <w:sz w:val="30"/>
        </w:rPr>
        <w:t>1. Purpose and limited scope</w:t>
      </w:r>
    </w:p>
    <w:p>
      <w:pPr>
        <w:spacing w:after="120" w:line="274" w:lineRule="auto"/>
      </w:pPr>
      <w:r>
        <w:rPr>
          <w:rFonts w:ascii="Aptos" w:hAnsi="Aptos"/>
          <w:b w:val="0"/>
          <w:i w:val="0"/>
          <w:color w:val="111827"/>
          <w:sz w:val="20"/>
        </w:rPr>
        <w:t>The Client engages the Service Provider to establish a lean, launch-ready technical foundation for CERA Medical. This Agreement covers the baseline infrastructure and deployment readiness described below. It is not an agreement for the complete product, full website, clinical workflow, ecommerce build, or ongoing managed service unless the Parties later sign a separate written scope.</w:t>
      </w:r>
    </w:p>
    <w:p>
      <w:pPr>
        <w:spacing w:before="260" w:after="100"/>
      </w:pPr>
      <w:r>
        <w:rPr>
          <w:rFonts w:ascii="Aptos Display" w:hAnsi="Aptos Display"/>
          <w:b/>
          <w:color w:val="111827"/>
          <w:sz w:val="30"/>
        </w:rPr>
        <w:t>2. Baseline deliverables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76"/>
            <w:vAlign w:val="center"/>
            <w:shd w:fill="0B5F62"/>
            <w:tcBorders>
              <w:top w:val="single" w:sz="6" w:color="D9D9D9"/>
              <w:left w:val="single" w:sz="6" w:color="D9D9D9"/>
              <w:bottom w:val="single" w:sz="6" w:color="D9D9D9"/>
              <w:right w:val="single" w:sz="6" w:color="D9D9D9"/>
            </w:tcBorders>
          </w:tcPr>
          <w:p>
            <w:pPr>
              <w:spacing w:after="0"/>
              <w:jc w:val="center"/>
            </w:pPr>
            <w:r/>
            <w:r>
              <w:rPr>
                <w:rFonts w:ascii="Aptos" w:hAnsi="Aptos"/>
                <w:b/>
                <w:color w:val="FFFFFF"/>
                <w:sz w:val="18"/>
              </w:rPr>
              <w:t>Area</w:t>
            </w:r>
          </w:p>
        </w:tc>
        <w:tc>
          <w:tcPr>
            <w:tcW w:type="dxa" w:w="7128"/>
            <w:vAlign w:val="center"/>
            <w:shd w:fill="0B5F62"/>
            <w:tcBorders>
              <w:top w:val="single" w:sz="6" w:color="D9D9D9"/>
              <w:left w:val="single" w:sz="6" w:color="D9D9D9"/>
              <w:bottom w:val="single" w:sz="6" w:color="D9D9D9"/>
              <w:right w:val="single" w:sz="6" w:color="D9D9D9"/>
            </w:tcBorders>
          </w:tcPr>
          <w:p>
            <w:pPr>
              <w:spacing w:after="0"/>
              <w:jc w:val="center"/>
            </w:pPr>
            <w:r/>
            <w:r>
              <w:rPr>
                <w:rFonts w:ascii="Aptos" w:hAnsi="Aptos"/>
                <w:b/>
                <w:color w:val="FFFFFF"/>
                <w:sz w:val="18"/>
              </w:rPr>
              <w:t>Included baseline outcome</w:t>
            </w:r>
          </w:p>
        </w:tc>
      </w:tr>
      <w:tr>
        <w:tc>
          <w:tcPr>
            <w:tcW w:type="dxa" w:w="2376"/>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Hosting &amp; access</w:t>
            </w:r>
          </w:p>
        </w:tc>
        <w:tc>
          <w:tcPr>
            <w:tcW w:type="dxa" w:w="7128"/>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CERA-owned Hetzner project configured for one CX43 production server, firewall rules, SSH access controls, and a temporary CX33 staging server while implementation is active.</w:t>
            </w:r>
          </w:p>
        </w:tc>
      </w:tr>
      <w:tr>
        <w:tc>
          <w:tcPr>
            <w:tcW w:type="dxa" w:w="2376"/>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Platform runtime</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Docker Compose baseline for Caddy, Next.js, Vendure, Payload CMS, PostgreSQL, Valkey/Redis, Authentik, and self-hosted GlitchTip, using environment-specific configuration.</w:t>
            </w:r>
          </w:p>
        </w:tc>
      </w:tr>
      <w:tr>
        <w:tc>
          <w:tcPr>
            <w:tcW w:type="dxa" w:w="2376"/>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Domains &amp; edge</w:t>
            </w:r>
          </w:p>
        </w:tc>
        <w:tc>
          <w:tcPr>
            <w:tcW w:type="dxa" w:w="7128"/>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Domain connection, Cloudflare DNS, HTTPS/TLS through Caddy, and standard Cloudflare settings appropriate to the chosen plan.</w:t>
            </w:r>
          </w:p>
        </w:tc>
      </w:tr>
      <w:tr>
        <w:tc>
          <w:tcPr>
            <w:tcW w:type="dxa" w:w="2376"/>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Data &amp; files</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PostgreSQL and Valkey kept non-public; Cloudflare R2 connected for uploads/media where required; baseline encrypted backup routine documented.</w:t>
            </w:r>
          </w:p>
        </w:tc>
      </w:tr>
      <w:tr>
        <w:tc>
          <w:tcPr>
            <w:tcW w:type="dxa" w:w="2376"/>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GitHub workflow</w:t>
            </w:r>
          </w:p>
        </w:tc>
        <w:tc>
          <w:tcPr>
            <w:tcW w:type="dxa" w:w="7128"/>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Private repository organisation, main/develop workflow, feature branches, pull requests, basic repository rules, GitHub Actions CI, and protected deployment access.</w:t>
            </w:r>
          </w:p>
        </w:tc>
      </w:tr>
      <w:tr>
        <w:tc>
          <w:tcPr>
            <w:tcW w:type="dxa" w:w="2376"/>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External services</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Initial account/configuration pathway for Resend transactional email and Zoho CRM, using the chosen/free tiers where sufficient.</w:t>
            </w:r>
          </w:p>
        </w:tc>
      </w:tr>
      <w:tr>
        <w:tc>
          <w:tcPr>
            <w:tcW w:type="dxa" w:w="2376"/>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Handover</w:t>
            </w:r>
          </w:p>
        </w:tc>
        <w:tc>
          <w:tcPr>
            <w:tcW w:type="dxa" w:w="7128"/>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Environment-variable inventory, access handover, short setup/deployment notes, and up to seven (7) calendar days to correct reproducible baseline-scope defects.</w:t>
            </w:r>
          </w:p>
        </w:tc>
      </w:tr>
    </w:tbl>
    <w:p>
      <w:r>
        <w:br w:type="page"/>
      </w:r>
    </w:p>
    <w:p>
      <w:pPr>
        <w:spacing w:before="260" w:after="100"/>
      </w:pPr>
      <w:r>
        <w:rPr>
          <w:rFonts w:ascii="Aptos Display" w:hAnsi="Aptos Display"/>
          <w:b/>
          <w:color w:val="111827"/>
          <w:sz w:val="30"/>
        </w:rPr>
        <w:t>3. Client-owned infrastructure and purchases</w:t>
      </w:r>
    </w:p>
    <w:p>
      <w:pPr>
        <w:spacing w:after="120" w:line="274" w:lineRule="auto"/>
      </w:pPr>
      <w:r>
        <w:rPr>
          <w:rFonts w:ascii="Aptos" w:hAnsi="Aptos"/>
          <w:b w:val="0"/>
          <w:i w:val="0"/>
          <w:color w:val="111827"/>
          <w:sz w:val="20"/>
        </w:rPr>
        <w:t>All accounts, domains, credentials, invoices, and subscription ownership shall remain in the Client’s name. The Service Provider may assist with configuration, but must not be asked to use personal accounts as the permanent owner of Client services.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20"/>
            <w:vAlign w:val="center"/>
            <w:shd w:fill="0B5F62"/>
            <w:tcBorders>
              <w:top w:val="single" w:sz="6" w:color="D9D9D9"/>
              <w:left w:val="single" w:sz="6" w:color="D9D9D9"/>
              <w:bottom w:val="single" w:sz="6" w:color="D9D9D9"/>
              <w:right w:val="single" w:sz="6" w:color="D9D9D9"/>
            </w:tcBorders>
          </w:tcPr>
          <w:p>
            <w:pPr>
              <w:spacing w:after="0"/>
              <w:jc w:val="center"/>
            </w:pPr>
            <w:r/>
            <w:r>
              <w:rPr>
                <w:rFonts w:ascii="Aptos" w:hAnsi="Aptos"/>
                <w:b/>
                <w:color w:val="FFFFFF"/>
                <w:sz w:val="18"/>
              </w:rPr>
              <w:t>Service / purchase</w:t>
            </w:r>
          </w:p>
        </w:tc>
        <w:tc>
          <w:tcPr>
            <w:tcW w:type="dxa" w:w="6984"/>
            <w:vAlign w:val="center"/>
            <w:shd w:fill="0B5F62"/>
            <w:tcBorders>
              <w:top w:val="single" w:sz="6" w:color="D9D9D9"/>
              <w:left w:val="single" w:sz="6" w:color="D9D9D9"/>
              <w:bottom w:val="single" w:sz="6" w:color="D9D9D9"/>
              <w:right w:val="single" w:sz="6" w:color="D9D9D9"/>
            </w:tcBorders>
          </w:tcPr>
          <w:p>
            <w:pPr>
              <w:spacing w:after="0"/>
              <w:jc w:val="center"/>
            </w:pPr>
            <w:r/>
            <w:r>
              <w:rPr>
                <w:rFonts w:ascii="Aptos" w:hAnsi="Aptos"/>
                <w:b/>
                <w:color w:val="FFFFFF"/>
                <w:sz w:val="18"/>
              </w:rPr>
              <w:t>Baseline use</w:t>
            </w:r>
          </w:p>
        </w:tc>
      </w:tr>
      <w:tr>
        <w:tc>
          <w:tcPr>
            <w:tcW w:type="dxa" w:w="2520"/>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Hetzner CX43</w:t>
            </w:r>
          </w:p>
        </w:tc>
        <w:tc>
          <w:tcPr>
            <w:tcW w:type="dxa" w:w="6984"/>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Primary low-traffic production server for the initial launch.</w:t>
            </w:r>
          </w:p>
        </w:tc>
      </w:tr>
      <w:tr>
        <w:tc>
          <w:tcPr>
            <w:tcW w:type="dxa" w:w="2520"/>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Hetzner CX33</w:t>
            </w:r>
          </w:p>
        </w:tc>
        <w:tc>
          <w:tcPr>
            <w:tcW w:type="dxa" w:w="6984"/>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Temporary staging/testing server during active implementation; Client may keep or cancel it after launch.</w:t>
            </w:r>
          </w:p>
        </w:tc>
      </w:tr>
      <w:tr>
        <w:tc>
          <w:tcPr>
            <w:tcW w:type="dxa" w:w="2520"/>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Hetzner backups</w:t>
            </w:r>
          </w:p>
        </w:tc>
        <w:tc>
          <w:tcPr>
            <w:tcW w:type="dxa" w:w="6984"/>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Automated server backups enabled for production, subject to the Client’s provider account and chosen retention.</w:t>
            </w:r>
          </w:p>
        </w:tc>
      </w:tr>
      <w:tr>
        <w:tc>
          <w:tcPr>
            <w:tcW w:type="dxa" w:w="2520"/>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Domain</w:t>
            </w:r>
          </w:p>
        </w:tc>
        <w:tc>
          <w:tcPr>
            <w:tcW w:type="dxa" w:w="6984"/>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A Client-owned domain if CERA Medical does not already have one.</w:t>
            </w:r>
          </w:p>
        </w:tc>
      </w:tr>
      <w:tr>
        <w:tc>
          <w:tcPr>
            <w:tcW w:type="dxa" w:w="2520"/>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Cloudflare &amp; R2</w:t>
            </w:r>
          </w:p>
        </w:tc>
        <w:tc>
          <w:tcPr>
            <w:tcW w:type="dxa" w:w="6984"/>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DNS, TLS/edge controls, and low-volume file/backup storage using applicable plan allowances.</w:t>
            </w:r>
          </w:p>
        </w:tc>
      </w:tr>
      <w:tr>
        <w:tc>
          <w:tcPr>
            <w:tcW w:type="dxa" w:w="2520"/>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GitHub</w:t>
            </w:r>
          </w:p>
        </w:tc>
        <w:tc>
          <w:tcPr>
            <w:tcW w:type="dxa" w:w="6984"/>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Client-owned organisation, private repository, collaborators, and CI usage.</w:t>
            </w:r>
          </w:p>
        </w:tc>
      </w:tr>
      <w:tr>
        <w:tc>
          <w:tcPr>
            <w:tcW w:type="dxa" w:w="2520"/>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Resend &amp; Zoho</w:t>
            </w:r>
          </w:p>
        </w:tc>
        <w:tc>
          <w:tcPr>
            <w:tcW w:type="dxa" w:w="6984"/>
            <w:vAlign w:val="center"/>
            <w:shd w:fill="F8FAFC"/>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Client-owned email and CRM accounts; free or paid plan selected by the Client according to actual usage.</w:t>
            </w:r>
          </w:p>
        </w:tc>
      </w:tr>
      <w:tr>
        <w:tc>
          <w:tcPr>
            <w:tcW w:type="dxa" w:w="2520"/>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Open-source runtime</w:t>
            </w:r>
          </w:p>
        </w:tc>
        <w:tc>
          <w:tcPr>
            <w:tcW w:type="dxa" w:w="6984"/>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7"/>
              </w:rPr>
              <w:t>Caddy, Docker, PostgreSQL, Valkey/Redis, Authentik, Vendure, Payload, and GlitchTip; no separate licence fee is assumed for the baseline.</w:t>
            </w:r>
          </w:p>
        </w:tc>
      </w:tr>
    </w:tbl>
    <w:p>
      <w:pPr>
        <w:spacing w:after="120" w:line="274" w:lineRule="auto"/>
      </w:pPr>
      <w:r>
        <w:rPr>
          <w:rFonts w:ascii="Aptos" w:hAnsi="Aptos"/>
          <w:b w:val="0"/>
          <w:i/>
          <w:color w:val="374151"/>
          <w:sz w:val="18"/>
        </w:rPr>
        <w:t>Third-party provider terms, taxes, foreign-exchange charges, plan changes, usage overages, and future subscription renewals are outside the Agreement Amount and are paid directly by the Client. The Service Provider does not guarantee the pricing, availability, or policies of third-party providers.</w:t>
      </w:r>
    </w:p>
    <w:p>
      <w:pPr>
        <w:spacing w:before="260" w:after="100"/>
      </w:pPr>
      <w:r>
        <w:rPr>
          <w:rFonts w:ascii="Aptos Display" w:hAnsi="Aptos Display"/>
          <w:b/>
          <w:color w:val="111827"/>
          <w:sz w:val="30"/>
        </w:rPr>
        <w:t>4. Agreement amount and payment</w:t>
      </w:r>
    </w:p>
    <w:tbl>
      <w:tblPr>
        <w:tblW w:type="auto" w:w="0"/>
        <w:jc w:val="center"/>
        <w:tblLayout w:type="fixed"/>
        <w:tblLook w:firstColumn="1" w:firstRow="1" w:lastColumn="0" w:lastRow="0" w:noHBand="0" w:noVBand="1" w:val="04A0"/>
      </w:tblPr>
      <w:tblGrid>
        <w:gridCol w:w="2520"/>
        <w:gridCol w:w="7128"/>
      </w:tblGrid>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Total Agreement Amount</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PKR 15,000 (Fifteen Thousand Pakistani Rupees only).</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First payment</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PKR 9,000 (60%) due at signing and before work begins.</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Final payment</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PKR 6,000 (40%) due when the listed baseline handover is ready.</w:t>
            </w:r>
          </w:p>
        </w:tc>
      </w:tr>
      <w:tr>
        <w:tc>
          <w:tcPr>
            <w:tcW w:type="dxa" w:w="2520"/>
            <w:vAlign w:val="center"/>
            <w:shd w:fill="EAF4F4"/>
            <w:tcBorders>
              <w:top w:val="single" w:sz="6" w:color="D9D9D9"/>
              <w:left w:val="single" w:sz="6" w:color="D9D9D9"/>
              <w:bottom w:val="single" w:sz="6" w:color="D9D9D9"/>
              <w:right w:val="single" w:sz="6" w:color="D9D9D9"/>
            </w:tcBorders>
          </w:tcPr>
          <w:p>
            <w:pPr>
              <w:spacing w:after="0"/>
            </w:pPr>
            <w:r/>
            <w:r>
              <w:rPr>
                <w:rFonts w:ascii="Aptos" w:hAnsi="Aptos"/>
                <w:b/>
                <w:color w:val="0B5F62"/>
                <w:sz w:val="18"/>
              </w:rPr>
              <w:t>Invoices / taxes</w:t>
            </w:r>
          </w:p>
        </w:tc>
        <w:tc>
          <w:tcPr>
            <w:tcW w:type="dxa" w:w="7128"/>
            <w:vAlign w:val="center"/>
            <w:tcBorders>
              <w:top w:val="single" w:sz="6" w:color="D9D9D9"/>
              <w:left w:val="single" w:sz="6" w:color="D9D9D9"/>
              <w:bottom w:val="single" w:sz="6" w:color="D9D9D9"/>
              <w:right w:val="single" w:sz="6" w:color="D9D9D9"/>
            </w:tcBorders>
          </w:tcPr>
          <w:p>
            <w:pPr>
              <w:spacing w:after="0"/>
            </w:pPr>
            <w:r/>
            <w:r>
              <w:rPr>
                <w:rFonts w:ascii="Aptos" w:hAnsi="Aptos"/>
                <w:b w:val="0"/>
                <w:color w:val="111827"/>
                <w:sz w:val="18"/>
              </w:rPr>
              <w:t>Any tax that must legally be added will be shown separately on the invoice. Provider charges are paid directly by the Client and are not credited against this Agreement Amount.</w:t>
            </w:r>
          </w:p>
        </w:tc>
      </w:tr>
    </w:tbl>
    <w:p>
      <w:pPr>
        <w:spacing w:after="120" w:line="274" w:lineRule="auto"/>
      </w:pPr>
      <w:r>
        <w:rPr>
          <w:rFonts w:ascii="Aptos" w:hAnsi="Aptos"/>
          <w:b/>
          <w:i w:val="0"/>
          <w:color w:val="0B5F62"/>
          <w:sz w:val="19"/>
        </w:rPr>
        <w:t>The Agreement Amount is for the limited baseline work in this document only. It does not price, disclose, or include any separate future development engagement.</w:t>
      </w:r>
    </w:p>
    <w:p>
      <w:pPr>
        <w:spacing w:before="260" w:after="100"/>
      </w:pPr>
      <w:r>
        <w:rPr>
          <w:rFonts w:ascii="Aptos Display" w:hAnsi="Aptos Display"/>
          <w:b/>
          <w:color w:val="111827"/>
          <w:sz w:val="30"/>
        </w:rPr>
        <w:t>5. Client responsibilities</w:t>
      </w:r>
    </w:p>
    <w:p>
      <w:pPr>
        <w:pStyle w:val="ListBullet"/>
        <w:spacing w:after="40" w:line="252" w:lineRule="auto"/>
      </w:pPr>
      <w:r>
        <w:rPr>
          <w:rFonts w:ascii="Aptos" w:hAnsi="Aptos"/>
          <w:color w:val="111827"/>
          <w:sz w:val="19"/>
        </w:rPr>
        <w:t>Provide the legal entity details, domain access, branding materials, required content, and timely decisions or approvals.</w:t>
      </w:r>
    </w:p>
    <w:p>
      <w:pPr>
        <w:pStyle w:val="ListBullet"/>
        <w:spacing w:after="40" w:line="252" w:lineRule="auto"/>
      </w:pPr>
      <w:r>
        <w:rPr>
          <w:rFonts w:ascii="Aptos" w:hAnsi="Aptos"/>
          <w:color w:val="111827"/>
          <w:sz w:val="19"/>
        </w:rPr>
        <w:t>Create and maintain the Client-owned accounts listed in Section 3, with valid billing details where a provider requires them.</w:t>
      </w:r>
    </w:p>
    <w:p>
      <w:pPr>
        <w:pStyle w:val="ListBullet"/>
        <w:spacing w:after="40" w:line="252" w:lineRule="auto"/>
      </w:pPr>
      <w:r>
        <w:rPr>
          <w:rFonts w:ascii="Aptos" w:hAnsi="Aptos"/>
          <w:color w:val="111827"/>
          <w:sz w:val="19"/>
        </w:rPr>
        <w:t>Provide accurate business, medical, privacy, consent, and content requirements. The Client remains responsible for all legal, medical, regulatory, and clinical decisions.</w:t>
      </w:r>
    </w:p>
    <w:p>
      <w:pPr>
        <w:pStyle w:val="ListBullet"/>
        <w:spacing w:after="40" w:line="252" w:lineRule="auto"/>
      </w:pPr>
      <w:r>
        <w:rPr>
          <w:rFonts w:ascii="Aptos" w:hAnsi="Aptos"/>
          <w:color w:val="111827"/>
          <w:sz w:val="19"/>
        </w:rPr>
        <w:t>Do not send passwords or production secrets in ordinary chat, email, or source-code files. Use the agreed secure method for credentials.</w:t>
      </w:r>
    </w:p>
    <w:p>
      <w:pPr>
        <w:pStyle w:val="ListBullet"/>
        <w:spacing w:after="40" w:line="252" w:lineRule="auto"/>
      </w:pPr>
      <w:r>
        <w:rPr>
          <w:rFonts w:ascii="Aptos" w:hAnsi="Aptos"/>
          <w:color w:val="111827"/>
          <w:sz w:val="19"/>
        </w:rPr>
        <w:t>Review a delivered baseline milestone within three (3) working days and provide clear, reproducible written issues within the agreed scope.</w:t>
      </w:r>
    </w:p>
    <w:p>
      <w:pPr>
        <w:spacing w:before="260" w:after="100"/>
      </w:pPr>
      <w:r>
        <w:rPr>
          <w:rFonts w:ascii="Aptos Display" w:hAnsi="Aptos Display"/>
          <w:b/>
          <w:color w:val="111827"/>
          <w:sz w:val="30"/>
        </w:rPr>
        <w:t>6. Changes, acceptance, and exclusions</w:t>
      </w:r>
    </w:p>
    <w:p>
      <w:pPr>
        <w:spacing w:after="120" w:line="274" w:lineRule="auto"/>
      </w:pPr>
      <w:r>
        <w:rPr>
          <w:rFonts w:ascii="Aptos" w:hAnsi="Aptos"/>
          <w:b w:val="0"/>
          <w:i w:val="0"/>
          <w:color w:val="111827"/>
          <w:sz w:val="20"/>
        </w:rPr>
        <w:t>Any work not expressly listed in Section 2 requires a written change request confirming the added deliverable, timeline, and price before that work begins. Delays caused by missing access, delayed feedback, external providers, or Client-supplied materials reasonably extend the target timeline.</w:t>
      </w:r>
    </w:p>
    <w:p>
      <w:pPr>
        <w:spacing w:after="120" w:line="274" w:lineRule="auto"/>
      </w:pPr>
      <w:r>
        <w:rPr>
          <w:rFonts w:ascii="Aptos" w:hAnsi="Aptos"/>
          <w:b w:val="0"/>
          <w:i w:val="0"/>
          <w:color w:val="111827"/>
          <w:sz w:val="20"/>
        </w:rPr>
        <w:t>The following are excluded from this Agreement unless added by a later written agreement:</w:t>
      </w:r>
    </w:p>
    <w:p>
      <w:pPr>
        <w:pStyle w:val="ListBullet"/>
        <w:spacing w:after="40" w:line="252" w:lineRule="auto"/>
      </w:pPr>
      <w:r>
        <w:rPr>
          <w:rFonts w:ascii="Aptos" w:hAnsi="Aptos"/>
          <w:color w:val="111827"/>
          <w:sz w:val="19"/>
        </w:rPr>
        <w:t>Complete frontend, public website, patient portal, custom UI/UX, content writing, content population, or brand design.</w:t>
      </w:r>
    </w:p>
    <w:p>
      <w:pPr>
        <w:pStyle w:val="ListBullet"/>
        <w:spacing w:after="40" w:line="252" w:lineRule="auto"/>
      </w:pPr>
      <w:r>
        <w:rPr>
          <w:rFonts w:ascii="Aptos" w:hAnsi="Aptos"/>
          <w:color w:val="111827"/>
          <w:sz w:val="19"/>
        </w:rPr>
        <w:t>Full ecommerce catalogue, checkout, payments, orders, inventory, shipping, tax, and refunds.</w:t>
      </w:r>
    </w:p>
    <w:p>
      <w:pPr>
        <w:pStyle w:val="ListBullet"/>
        <w:spacing w:after="40" w:line="252" w:lineRule="auto"/>
      </w:pPr>
      <w:r>
        <w:rPr>
          <w:rFonts w:ascii="Aptos" w:hAnsi="Aptos"/>
          <w:color w:val="111827"/>
          <w:sz w:val="19"/>
        </w:rPr>
        <w:t>Production clinical functionality, medical advice features, legal/compliance certification, penetration testing, or regulatory filings.</w:t>
      </w:r>
    </w:p>
    <w:p>
      <w:pPr>
        <w:pStyle w:val="ListBullet"/>
        <w:spacing w:after="40" w:line="252" w:lineRule="auto"/>
      </w:pPr>
      <w:r>
        <w:rPr>
          <w:rFonts w:ascii="Aptos" w:hAnsi="Aptos"/>
          <w:color w:val="111827"/>
          <w:sz w:val="19"/>
        </w:rPr>
        <w:t>Advanced Zoho, Resend, Authentik, R2, GlitchTip, analytics, SEO, CRM, or third-party integrations beyond the baseline pathway.</w:t>
      </w:r>
    </w:p>
    <w:p>
      <w:pPr>
        <w:pStyle w:val="ListBullet"/>
        <w:spacing w:after="40" w:line="252" w:lineRule="auto"/>
      </w:pPr>
      <w:r>
        <w:rPr>
          <w:rFonts w:ascii="Aptos" w:hAnsi="Aptos"/>
          <w:color w:val="111827"/>
          <w:sz w:val="19"/>
        </w:rPr>
        <w:t>24/7 support, ongoing maintenance, monitoring response, incident response, performance tuning, future upgrades, or managed hosting.</w:t>
      </w:r>
    </w:p>
    <w:p>
      <w:pPr>
        <w:pStyle w:val="ListBullet"/>
        <w:spacing w:after="40" w:line="252" w:lineRule="auto"/>
      </w:pPr>
      <w:r>
        <w:rPr>
          <w:rFonts w:ascii="Aptos" w:hAnsi="Aptos"/>
          <w:color w:val="111827"/>
          <w:sz w:val="19"/>
        </w:rPr>
        <w:t>Any third-party subscription, usage, renewal, tax, payment-gateway charge, or provider account charge.</w:t>
      </w:r>
    </w:p>
    <w:p>
      <w:pPr>
        <w:spacing w:before="260" w:after="100"/>
      </w:pPr>
      <w:r>
        <w:rPr>
          <w:rFonts w:ascii="Aptos Display" w:hAnsi="Aptos Display"/>
          <w:b/>
          <w:color w:val="111827"/>
          <w:sz w:val="30"/>
        </w:rPr>
        <w:t>7. Ownership, confidentiality, and security</w:t>
      </w:r>
    </w:p>
    <w:p>
      <w:pPr>
        <w:spacing w:after="120" w:line="274" w:lineRule="auto"/>
      </w:pPr>
      <w:r>
        <w:rPr>
          <w:rFonts w:ascii="Aptos" w:hAnsi="Aptos"/>
          <w:b w:val="0"/>
          <w:i w:val="0"/>
          <w:color w:val="111827"/>
          <w:sz w:val="20"/>
        </w:rPr>
        <w:t>On receipt of full payment, the Client owns the project-specific baseline configuration and documentation created for the Client, except for third-party and open-source components, which remain subject to their own licences. The Service Provider retains ownership of pre-existing tools, templates, reusable know-how, and general methods.</w:t>
      </w:r>
    </w:p>
    <w:p>
      <w:pPr>
        <w:spacing w:after="120" w:line="274" w:lineRule="auto"/>
      </w:pPr>
      <w:r>
        <w:rPr>
          <w:rFonts w:ascii="Aptos" w:hAnsi="Aptos"/>
          <w:b w:val="0"/>
          <w:i w:val="0"/>
          <w:color w:val="111827"/>
          <w:sz w:val="20"/>
        </w:rPr>
        <w:t>Each Party shall use the other Party’s non-public business, access, and technical information only to perform this Agreement and shall take reasonable care to protect it. This obligation does not apply to information that is public through no breach, independently developed, already lawfully known, or required to be disclosed by law.</w:t>
      </w:r>
    </w:p>
    <w:p>
      <w:pPr>
        <w:spacing w:after="120" w:line="274" w:lineRule="auto"/>
      </w:pPr>
      <w:r>
        <w:rPr>
          <w:rFonts w:ascii="Aptos" w:hAnsi="Aptos"/>
          <w:b w:val="0"/>
          <w:i w:val="0"/>
          <w:color w:val="111827"/>
          <w:sz w:val="20"/>
        </w:rPr>
        <w:t>The Client controls production data and must not provide real patient, health, or sensitive personal data for testing unless a separately approved, lawful data-handling process is in place. Test or anonymised data should be used for the baseline.</w:t>
      </w:r>
    </w:p>
    <w:p>
      <w:pPr>
        <w:spacing w:before="260" w:after="100"/>
      </w:pPr>
      <w:r>
        <w:rPr>
          <w:rFonts w:ascii="Aptos Display" w:hAnsi="Aptos Display"/>
          <w:b/>
          <w:color w:val="111827"/>
          <w:sz w:val="30"/>
        </w:rPr>
        <w:t>8. Warranty, liability, termination, and governing law</w:t>
      </w:r>
    </w:p>
    <w:p>
      <w:pPr>
        <w:spacing w:after="120" w:line="274" w:lineRule="auto"/>
      </w:pPr>
      <w:r>
        <w:rPr>
          <w:rFonts w:ascii="Aptos" w:hAnsi="Aptos"/>
          <w:b w:val="0"/>
          <w:i w:val="0"/>
          <w:color w:val="111827"/>
          <w:sz w:val="20"/>
        </w:rPr>
        <w:t>For seven (7) calendar days after handover, the Service Provider will correct reproducible defects that prevent the baseline deliverables from materially matching Section 2. This does not cover third-party outages or changes, Client changes, misuse, missing subscriptions, future updates, or items outside scope.</w:t>
      </w:r>
    </w:p>
    <w:p>
      <w:pPr>
        <w:spacing w:after="120" w:line="274" w:lineRule="auto"/>
      </w:pPr>
      <w:r>
        <w:rPr>
          <w:rFonts w:ascii="Aptos" w:hAnsi="Aptos"/>
          <w:b w:val="0"/>
          <w:i w:val="0"/>
          <w:color w:val="111827"/>
          <w:sz w:val="20"/>
        </w:rPr>
        <w:t>To the maximum extent permitted by applicable law, neither Party is liable to the other for indirect, consequential, special, or lost-profit damages. The Service Provider’s total liability relating to this Agreement shall not exceed the amount actually paid under this Agreement.</w:t>
      </w:r>
    </w:p>
    <w:p>
      <w:pPr>
        <w:spacing w:after="120" w:line="274" w:lineRule="auto"/>
      </w:pPr>
      <w:r>
        <w:rPr>
          <w:rFonts w:ascii="Aptos" w:hAnsi="Aptos"/>
          <w:b w:val="0"/>
          <w:i w:val="0"/>
          <w:color w:val="111827"/>
          <w:sz w:val="20"/>
        </w:rPr>
        <w:t>Either Party may terminate by written notice. The Client shall pay for completed baseline work and any approved, non-cancellable Client obligations up to the termination date. The Parties will first try to resolve a dispute in good faith. This Agreement is governed by the laws of Pakistan, and the courts of Swabi, Khyber Pakhtunkhwa shall have jurisdiction, subject to applicable law.</w:t>
      </w:r>
    </w:p>
    <w:p>
      <w:pPr>
        <w:spacing w:after="120" w:line="274" w:lineRule="auto"/>
      </w:pPr>
      <w:r>
        <w:rPr>
          <w:rFonts w:ascii="Aptos" w:hAnsi="Aptos"/>
          <w:b w:val="0"/>
          <w:i w:val="0"/>
          <w:color w:val="374151"/>
          <w:sz w:val="19"/>
        </w:rPr>
        <w:t>This document is the complete baseline agreement between the Parties. Any amendment must be in writing and accepted by both Parties. Counterparts and electronic signatures may be used to the extent permitted by applicable law.</w:t>
      </w:r>
    </w:p>
    <w:p>
      <w:pPr>
        <w:spacing w:before="260" w:after="100"/>
      </w:pPr>
      <w:r>
        <w:rPr>
          <w:rFonts w:ascii="Aptos Display" w:hAnsi="Aptos Display"/>
          <w:b/>
          <w:color w:val="111827"/>
          <w:sz w:val="30"/>
        </w:rPr>
        <w:t>9. Signatures</w:t>
      </w:r>
    </w:p>
    <w:p>
      <w:pPr>
        <w:spacing w:after="120" w:line="274" w:lineRule="auto"/>
      </w:pPr>
      <w:r>
        <w:rPr>
          <w:rFonts w:ascii="Aptos" w:hAnsi="Aptos"/>
          <w:b w:val="0"/>
          <w:i w:val="0"/>
          <w:color w:val="111827"/>
          <w:sz w:val="19"/>
        </w:rPr>
        <w:t>By signing below, each signatory confirms that they are authorised to bind the Party named above and that they accept the terms of this Agreement.</w:t>
      </w:r>
    </w:p>
    <w:tbl>
      <w:tblPr>
        <w:tblW w:type="auto" w:w="0"/>
        <w:jc w:val="center"/>
        <w:tblLayout w:type="fixed"/>
        <w:tblLook w:firstColumn="1" w:firstRow="1" w:lastColumn="0" w:lastRow="0" w:noHBand="0" w:noVBand="1" w:val="04A0"/>
      </w:tblPr>
      <w:tblGrid>
        <w:gridCol w:w="5112"/>
        <w:gridCol w:w="5112"/>
      </w:tblGrid>
      <w:tr>
        <w:tc>
          <w:tcPr>
            <w:tcW w:type="dxa" w:w="4752"/>
            <w:shd w:fill="F8FAFC"/>
            <w:tcBorders>
              <w:top w:val="single" w:sz="6" w:color="D9D9D9"/>
              <w:left w:val="single" w:sz="6" w:color="D9D9D9"/>
              <w:bottom w:val="single" w:sz="6" w:color="D9D9D9"/>
              <w:right w:val="single" w:sz="6" w:color="D9D9D9"/>
            </w:tcBorders>
          </w:tcPr>
          <w:p>
            <w:pPr>
              <w:spacing w:after="160"/>
            </w:pPr>
            <w:r>
              <w:rPr>
                <w:rFonts w:ascii="Aptos" w:hAnsi="Aptos"/>
                <w:b/>
                <w:color w:val="0B5F62"/>
                <w:sz w:val="20"/>
              </w:rPr>
              <w:t>CLIENT — CERA MEDICAL</w:t>
            </w:r>
          </w:p>
          <w:p>
            <w:pPr>
              <w:spacing w:after="140"/>
            </w:pPr>
            <w:r>
              <w:rPr>
                <w:rFonts w:ascii="Aptos" w:hAnsi="Aptos"/>
                <w:color w:val="111827"/>
                <w:sz w:val="18"/>
              </w:rPr>
              <w:t>Signature: ______________________________</w:t>
            </w:r>
          </w:p>
          <w:p>
            <w:pPr>
              <w:spacing w:after="140"/>
            </w:pPr>
            <w:r>
              <w:rPr>
                <w:rFonts w:ascii="Aptos" w:hAnsi="Aptos"/>
                <w:color w:val="111827"/>
                <w:sz w:val="18"/>
              </w:rPr>
              <w:t>Name: __________________________________</w:t>
            </w:r>
          </w:p>
          <w:p>
            <w:pPr>
              <w:spacing w:after="140"/>
            </w:pPr>
            <w:r>
              <w:rPr>
                <w:rFonts w:ascii="Aptos" w:hAnsi="Aptos"/>
                <w:color w:val="111827"/>
                <w:sz w:val="18"/>
              </w:rPr>
              <w:t>Title / Authority: ______________________</w:t>
            </w:r>
          </w:p>
          <w:p>
            <w:pPr>
              <w:spacing w:after="140"/>
            </w:pPr>
            <w:r>
              <w:rPr>
                <w:rFonts w:ascii="Aptos" w:hAnsi="Aptos"/>
                <w:color w:val="111827"/>
                <w:sz w:val="18"/>
              </w:rPr>
              <w:t>Date: ___________________________________</w:t>
            </w:r>
          </w:p>
        </w:tc>
        <w:tc>
          <w:tcPr>
            <w:tcW w:type="dxa" w:w="4752"/>
            <w:shd w:fill="F8FAFC"/>
            <w:tcBorders>
              <w:top w:val="single" w:sz="6" w:color="D9D9D9"/>
              <w:left w:val="single" w:sz="6" w:color="D9D9D9"/>
              <w:bottom w:val="single" w:sz="6" w:color="D9D9D9"/>
              <w:right w:val="single" w:sz="6" w:color="D9D9D9"/>
            </w:tcBorders>
          </w:tcPr>
          <w:p>
            <w:pPr>
              <w:spacing w:after="160"/>
            </w:pPr>
            <w:r>
              <w:rPr>
                <w:rFonts w:ascii="Aptos" w:hAnsi="Aptos"/>
                <w:b/>
                <w:color w:val="0B5F62"/>
                <w:sz w:val="20"/>
              </w:rPr>
              <w:t>SERVICE PROVIDER</w:t>
            </w:r>
          </w:p>
          <w:p>
            <w:pPr>
              <w:spacing w:after="80"/>
            </w:pPr>
            <w:r>
              <w:rPr>
                <w:rFonts w:ascii="Aptos" w:hAnsi="Aptos"/>
                <w:color w:val="111827"/>
                <w:sz w:val="18"/>
              </w:rPr>
              <w:t xml:space="preserve">Signature: </w:t>
              <w:drawing>
                <wp:inline xmlns:a="http://schemas.openxmlformats.org/drawingml/2006/main" xmlns:pic="http://schemas.openxmlformats.org/drawingml/2006/picture">
                  <wp:extent cx="1325880" cy="914400"/>
                  <wp:docPr id="1" name="Picture 1"/>
                  <wp:cNvGraphicFramePr>
                    <a:graphicFrameLocks noChangeAspect="1"/>
                  </wp:cNvGraphicFramePr>
                  <a:graphic>
                    <a:graphicData uri="http://schemas.openxmlformats.org/drawingml/2006/picture">
                      <pic:pic>
                        <pic:nvPicPr>
                          <pic:cNvPr id="0" name="muhammad_saad_khan_signature.png"/>
                          <pic:cNvPicPr/>
                        </pic:nvPicPr>
                        <pic:blipFill>
                          <a:blip r:embed="rId10"/>
                          <a:stretch>
                            <a:fillRect/>
                          </a:stretch>
                        </pic:blipFill>
                        <pic:spPr>
                          <a:xfrm>
                            <a:off x="0" y="0"/>
                            <a:ext cx="1325880" cy="914400"/>
                          </a:xfrm>
                          <a:prstGeom prst="rect"/>
                        </pic:spPr>
                      </pic:pic>
                    </a:graphicData>
                  </a:graphic>
                </wp:inline>
              </w:drawing>
            </w:r>
          </w:p>
          <w:p>
            <w:pPr>
              <w:spacing w:after="140"/>
            </w:pPr>
            <w:r>
              <w:rPr>
                <w:rFonts w:ascii="Aptos" w:hAnsi="Aptos"/>
                <w:color w:val="111827"/>
                <w:sz w:val="18"/>
              </w:rPr>
              <w:t>Name: Muhammad Saad Khan</w:t>
            </w:r>
          </w:p>
          <w:p>
            <w:pPr>
              <w:spacing w:after="140"/>
            </w:pPr>
            <w:r>
              <w:rPr>
                <w:rFonts w:ascii="Aptos" w:hAnsi="Aptos"/>
                <w:color w:val="111827"/>
                <w:sz w:val="18"/>
              </w:rPr>
              <w:t>Business / Title: Stack &amp; Scale / Founder</w:t>
            </w:r>
          </w:p>
          <w:p>
            <w:pPr>
              <w:spacing w:after="140"/>
            </w:pPr>
            <w:r>
              <w:rPr>
                <w:rFonts w:ascii="Aptos" w:hAnsi="Aptos"/>
                <w:color w:val="111827"/>
                <w:sz w:val="18"/>
              </w:rPr>
              <w:t>Date: 17 September 2026</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Aptos" w:hAnsi="Aptos"/>
        <w:color w:val="6B7280"/>
        <w:sz w:val="16"/>
      </w:rPr>
      <w:t xml:space="preserve">CERA Medical • Baseline Infrastructure Agreement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