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CERA Medical Platform Documentation Index</w:t>
      </w:r>
    </w:p>
    <w:p>
      <w:pPr>
        <w:spacing w:after="240"/>
      </w:pPr>
      <w:r>
        <w:rPr>
          <w:color w:val="0F6B6D"/>
          <w:sz w:val="23"/>
        </w:rPr>
        <w:t>Post-meeting technical, design, delivery and operational documentation for the commerce + content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SCOPE DECISION  </w:t>
            </w:r>
            <w:r>
              <w:rPr>
                <w:sz w:val="19"/>
              </w:rPr>
              <w:t>The current implementation removes the earlier research CRM, proposal pipeline, research file-intake workflow and consultation automation. The platform is now centered on ecommerce, service pages, a blog/content CMS, customer operations and measurable digital growth.</w:t>
            </w:r>
          </w:p>
        </w:tc>
      </w:tr>
    </w:tbl>
    <w:p/>
    <w:p>
      <w:pPr>
        <w:pStyle w:val="Heading1"/>
      </w:pPr>
      <w:r>
        <w:t>Documentation set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2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316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57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System Design Specification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Business actors, modules, functional boundaries, core flows, data entities and non-functional requirements.</w:t>
            </w:r>
          </w:p>
        </w:tc>
      </w:tr>
      <w:tr>
        <w:tc>
          <w:tcPr>
            <w:tcW w:type="dxa" w:w="7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Solution Architecture Design</w:t>
            </w:r>
          </w:p>
        </w:tc>
        <w:tc>
          <w:tcPr>
            <w:tcW w:type="dxa" w:w="57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System context, container/deployment architecture, trust boundaries, integration topology and scale path.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Technology Stack &amp; Open-Source Strategy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Final stack, why each component is used, ownership, licensing and what is intentionally self-hosted.</w:t>
            </w:r>
          </w:p>
        </w:tc>
      </w:tr>
      <w:tr>
        <w:tc>
          <w:tcPr>
            <w:tcW w:type="dxa" w:w="7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Brand &amp; Digital UI Design System</w:t>
            </w:r>
          </w:p>
        </w:tc>
        <w:tc>
          <w:tcPr>
            <w:tcW w:type="dxa" w:w="57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Proposed CERA digital brand tokens, typography, spacing, components, imagery, content voice and accessibility rules.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Third-Party Baseline Cost Schedule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Launch infrastructure and service costs only, including free-tier assumptions, usage-based charges and upgrade triggers.</w:t>
            </w:r>
          </w:p>
        </w:tc>
      </w:tr>
      <w:tr>
        <w:tc>
          <w:tcPr>
            <w:tcW w:type="dxa" w:w="7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DevOps, Security, Backup &amp; Operations Plan</w:t>
            </w:r>
          </w:p>
        </w:tc>
        <w:tc>
          <w:tcPr>
            <w:tcW w:type="dxa" w:w="57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Environments, deployment, secrets, backups, access control, monitoring, incident response and operational runbooks.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10-Working-Day Implementation Plan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Three-developer allocation, daily outcomes, dependency gates, feature freeze and launch sequence.</w:t>
            </w:r>
          </w:p>
        </w:tc>
      </w:tr>
      <w:tr>
        <w:tc>
          <w:tcPr>
            <w:tcW w:type="dxa" w:w="72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QA, UAT, Launch &amp; Handover Checklist</w:t>
            </w:r>
          </w:p>
        </w:tc>
        <w:tc>
          <w:tcPr>
            <w:tcW w:type="dxa" w:w="57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Acceptance tests for commerce, CMS, email, permissions, SEO, performance, deployment and client handover.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Scope, Responsibilities &amp; Change Control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Included modules, explicit exclusions, CERA responsibilities, ownership model and scope-change process.</w:t>
            </w:r>
          </w:p>
        </w:tc>
      </w:tr>
    </w:tbl>
    <w:p/>
    <w:p>
      <w:pPr>
        <w:pStyle w:val="Heading1"/>
      </w:pPr>
      <w:r>
        <w:t>Core implementation decisions</w:t>
      </w:r>
    </w:p>
    <w:p>
      <w:pPr>
        <w:pStyle w:val="ListBullet"/>
        <w:spacing w:after="40"/>
      </w:pPr>
      <w:r>
        <w:rPr>
          <w:b/>
        </w:rPr>
        <w:t xml:space="preserve">Primary domain: </w:t>
      </w:r>
      <w:r>
        <w:t>retain ceramed.org; no new primary domain is required.</w:t>
      </w:r>
    </w:p>
    <w:p>
      <w:pPr>
        <w:pStyle w:val="ListBullet"/>
        <w:spacing w:after="40"/>
      </w:pPr>
      <w:r>
        <w:rPr>
          <w:b/>
        </w:rPr>
        <w:t xml:space="preserve">Commerce: </w:t>
      </w:r>
      <w:r>
        <w:t>Vendure Core, self-hosted.</w:t>
      </w:r>
    </w:p>
    <w:p>
      <w:pPr>
        <w:pStyle w:val="ListBullet"/>
        <w:spacing w:after="40"/>
      </w:pPr>
      <w:r>
        <w:rPr>
          <w:b/>
        </w:rPr>
        <w:t xml:space="preserve">Content: </w:t>
      </w:r>
      <w:r>
        <w:t>Payload CMS integrated with the Next.js application for blogs, services, pages, authors and site settings.</w:t>
      </w:r>
    </w:p>
    <w:p>
      <w:pPr>
        <w:pStyle w:val="ListBullet"/>
        <w:spacing w:after="40"/>
      </w:pPr>
      <w:r>
        <w:rPr>
          <w:b/>
        </w:rPr>
        <w:t xml:space="preserve">Identity: </w:t>
      </w:r>
      <w:r>
        <w:t>Authentik as the outer access gateway for internal/admin surfaces; application roles remain enforced inside Vendure/Payload.</w:t>
      </w:r>
    </w:p>
    <w:p>
      <w:pPr>
        <w:pStyle w:val="ListBullet"/>
        <w:spacing w:after="40"/>
      </w:pPr>
      <w:r>
        <w:rPr>
          <w:b/>
        </w:rPr>
        <w:t xml:space="preserve">Storage: </w:t>
      </w:r>
      <w:r>
        <w:t>Cloudflare R2 for application media and selected off-server backup exports.</w:t>
      </w:r>
    </w:p>
    <w:p>
      <w:pPr>
        <w:pStyle w:val="ListBullet"/>
        <w:spacing w:after="40"/>
      </w:pPr>
      <w:r>
        <w:rPr>
          <w:b/>
        </w:rPr>
        <w:t xml:space="preserve">Monitoring: </w:t>
      </w:r>
      <w:r>
        <w:t>self-hosted GlitchTip for errors/performance/uptime telemetry.</w:t>
      </w:r>
    </w:p>
    <w:p>
      <w:pPr>
        <w:pStyle w:val="ListBullet"/>
        <w:spacing w:after="40"/>
      </w:pPr>
      <w:r>
        <w:rPr>
          <w:b/>
        </w:rPr>
        <w:t xml:space="preserve">Email: </w:t>
      </w:r>
      <w:r>
        <w:t>Zoho Mail for human mailboxes; Resend for transactional application email.</w:t>
      </w:r>
    </w:p>
    <w:p>
      <w:pPr>
        <w:pStyle w:val="ListBullet"/>
        <w:spacing w:after="40"/>
      </w:pPr>
      <w:r>
        <w:rPr>
          <w:b/>
        </w:rPr>
        <w:t xml:space="preserve">Delivery target: </w:t>
      </w:r>
      <w:r>
        <w:t>10 working days with three developers, subject to timely access, catalogue data, gateway credentials and approvals.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