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Specification</w:t>
      </w:r>
    </w:p>
    <w:p>
      <w:pPr>
        <w:spacing w:after="240"/>
      </w:pPr>
      <w:r>
        <w:rPr>
          <w:color w:val="0F6B6D"/>
          <w:sz w:val="23"/>
        </w:rPr>
        <w:t>Functional design for the CERA Medical ecommerce, service-content and blog platform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F6B6D"/>
                <w:sz w:val="17"/>
              </w:rPr>
              <w:t xml:space="preserve">SYSTEM OBJECTIVE  </w:t>
            </w:r>
            <w:r>
              <w:rPr>
                <w:sz w:val="19"/>
              </w:rPr>
              <w:t>Create one maintainable digital platform that sells products, publishes service-led educational content, supports routine ecommerce operations, and gives CERA staff controlled administration without developer intervention for normal content and order work.</w:t>
            </w:r>
          </w:p>
        </w:tc>
      </w:tr>
    </w:tbl>
    <w:p/>
    <w:p>
      <w:pPr>
        <w:pStyle w:val="Heading1"/>
      </w:pPr>
      <w:r>
        <w:t>1. Scope boundary</w:t>
      </w:r>
    </w:p>
    <w:p>
      <w:pPr>
        <w:pStyle w:val="ListBullet"/>
        <w:spacing w:after="40"/>
      </w:pPr>
      <w:r>
        <w:t>Public website with homepage, shop, product detail pages, service pages, blog, about/contact and legal pages.</w:t>
      </w:r>
    </w:p>
    <w:p>
      <w:pPr>
        <w:pStyle w:val="ListBullet"/>
        <w:spacing w:after="40"/>
      </w:pPr>
      <w:r>
        <w:t>Full ecommerce foundation: catalogue, variants, inventory, cart, checkout, shipping, payment/COD, orders, promotions and customer history.</w:t>
      </w:r>
    </w:p>
    <w:p>
      <w:pPr>
        <w:pStyle w:val="ListBullet"/>
        <w:spacing w:after="40"/>
      </w:pPr>
      <w:r>
        <w:t>Blog and service CMS with authors, categories, tags, media, SEO metadata, draft/review/publish state and related-content relationships.</w:t>
      </w:r>
    </w:p>
    <w:p>
      <w:pPr>
        <w:pStyle w:val="ListBullet"/>
        <w:spacing w:after="40"/>
      </w:pPr>
      <w:r>
        <w:t>Admin access controls, transactional email, staff email, analytics, monitoring, backups and production deployment.</w:t>
      </w:r>
    </w:p>
    <w:p>
      <w:pPr>
        <w:pStyle w:val="ListBullet"/>
        <w:spacing w:after="40"/>
      </w:pPr>
      <w:r>
        <w:t>Simple service conversion through contact/WhatsApp/action CTAs; no research opportunity pipeline or research-specific CRM workflow.</w:t>
      </w:r>
    </w:p>
    <w:p>
      <w:pPr>
        <w:pStyle w:val="Heading1"/>
      </w:pPr>
      <w:r>
        <w:t>2. Actors and roles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460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Primary actions</w:t>
            </w:r>
          </w:p>
        </w:tc>
        <w:tc>
          <w:tcPr>
            <w:tcW w:type="dxa" w:w="3312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System boundary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Visitor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Browse products, services and blogs; search; contact CERA.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Public website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46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Cart, checkout, account/order history where enabled, reorder, reviews if enabled.</w:t>
            </w:r>
          </w:p>
        </w:tc>
        <w:tc>
          <w:tcPr>
            <w:tcW w:type="dxa" w:w="33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Storefront + Vendure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Owner / Super Admin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Configuration visibility, user governance, operational overview.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Protected admin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Ecommerce Manager</w:t>
            </w:r>
          </w:p>
        </w:tc>
        <w:tc>
          <w:tcPr>
            <w:tcW w:type="dxa" w:w="46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Products, pricing, stock, promotions, orders and fulfilment.</w:t>
            </w:r>
          </w:p>
        </w:tc>
        <w:tc>
          <w:tcPr>
            <w:tcW w:type="dxa" w:w="33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Vendure Admin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Content Editor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Blogs, service pages, authors, media, metadata and scheduled publishing.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Payload Admin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Compliance / Scientific Reviewer</w:t>
            </w:r>
          </w:p>
        </w:tc>
        <w:tc>
          <w:tcPr>
            <w:tcW w:type="dxa" w:w="46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Review health/scientific wording before publish where required.</w:t>
            </w:r>
          </w:p>
        </w:tc>
        <w:tc>
          <w:tcPr>
            <w:tcW w:type="dxa" w:w="33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Payload workflow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Customer Support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View orders/customer context and resolve service issues within granted permissions.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Vendure Admin</w:t>
            </w:r>
          </w:p>
        </w:tc>
      </w:tr>
    </w:tbl>
    <w:p/>
    <w:p>
      <w:pPr>
        <w:pStyle w:val="Heading1"/>
      </w:pPr>
      <w:r>
        <w:t>3. System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71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7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6"/>
        </w:rPr>
        <w:t>Figure 1. CERA platform system context</w:t>
      </w:r>
    </w:p>
    <w:p>
      <w:pPr>
        <w:pStyle w:val="Heading1"/>
      </w:pPr>
      <w:r>
        <w:t>4. Functional modules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756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Core responsibilities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Storefront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SSR/SEO pages, navigation, product discovery, services, blog, cart/checkout UI, contact/WhatsApp CTAs.</w:t>
            </w:r>
          </w:p>
        </w:tc>
      </w:tr>
      <w:tr>
        <w:tc>
          <w:tcPr>
            <w:tcW w:type="dxa" w:w="21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Commerce</w:t>
            </w:r>
          </w:p>
        </w:tc>
        <w:tc>
          <w:tcPr>
            <w:tcW w:type="dxa" w:w="75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Products, variants, pricing, tax/shipping rules, stock, cart, order lifecycle, promotions, customers, payment integrations.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Content CMS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Blog articles, service pages, authors, categories/tags, site settings, legal pages, media metadata and SEO controls.</w:t>
            </w:r>
          </w:p>
        </w:tc>
      </w:tr>
      <w:tr>
        <w:tc>
          <w:tcPr>
            <w:tcW w:type="dxa" w:w="21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Identity &amp; access</w:t>
            </w:r>
          </w:p>
        </w:tc>
        <w:tc>
          <w:tcPr>
            <w:tcW w:type="dxa" w:w="75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MFA/SSO gateway for staff admin hosts, least-privilege roles, recovery and access revocation.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Media/storage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Product/blog/service media in R2; signed/private access for non-public objects; lifecycle controls.</w:t>
            </w:r>
          </w:p>
        </w:tc>
      </w:tr>
      <w:tr>
        <w:tc>
          <w:tcPr>
            <w:tcW w:type="dxa" w:w="21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Messaging</w:t>
            </w:r>
          </w:p>
        </w:tc>
        <w:tc>
          <w:tcPr>
            <w:tcW w:type="dxa" w:w="75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Order/account lifecycle email through Resend; human correspondence through Zoho Mail.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Error tracking, performance/uptime signals, structured logs and operational alerts.</w:t>
            </w:r>
          </w:p>
        </w:tc>
      </w:tr>
      <w:tr>
        <w:tc>
          <w:tcPr>
            <w:tcW w:type="dxa" w:w="21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Analytics/SEO</w:t>
            </w:r>
          </w:p>
        </w:tc>
        <w:tc>
          <w:tcPr>
            <w:tcW w:type="dxa" w:w="75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GA4/GTM, Search Console, Clarity, sitemap, structured data, canonical metadata and conversion events.</w:t>
            </w:r>
          </w:p>
        </w:tc>
      </w:tr>
    </w:tbl>
    <w:p/>
    <w:p>
      <w:pPr>
        <w:pStyle w:val="Heading1"/>
      </w:pPr>
      <w:r>
        <w:t>5. Commerce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43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6"/>
        </w:rPr>
        <w:t>Figure 2. Core purchase lifecycle</w:t>
      </w:r>
    </w:p>
    <w:p>
      <w:pPr>
        <w:pStyle w:val="Heading1"/>
      </w:pPr>
      <w:r>
        <w:t>6. Content publishing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78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7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6"/>
        </w:rPr>
        <w:t>Figure 3. Service/blog publishing lifecycle</w:t>
      </w:r>
    </w:p>
    <w:p>
      <w:pPr>
        <w:pStyle w:val="Heading1"/>
      </w:pPr>
      <w:r>
        <w:t>7. Core data entities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770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Entities / relationships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Commerce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Product -&gt; Variant -&gt; Stock; Customer -&gt; Address; Cart -&gt; Line Items; Order -&gt; Payment/Shipping/Fulfilment; Promotion -&gt; Conditions/Actions.</w:t>
            </w:r>
          </w:p>
        </w:tc>
      </w:tr>
      <w:tr>
        <w:tc>
          <w:tcPr>
            <w:tcW w:type="dxa" w:w="201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CMS</w:t>
            </w:r>
          </w:p>
        </w:tc>
        <w:tc>
          <w:tcPr>
            <w:tcW w:type="dxa" w:w="770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Article -&gt; Author/Category/Tags/Related Service; Service -&gt; Related Articles/CTA; Page -&gt; Content Blocks; Media -&gt; R2 object + metadata; Site Settings -&gt; navigation/footer/default SEO.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Staff identity -&gt; group/role -&gt; protected admin surface; application-level role -&gt; allowed actions.</w:t>
            </w:r>
          </w:p>
        </w:tc>
      </w:tr>
      <w:tr>
        <w:tc>
          <w:tcPr>
            <w:tcW w:type="dxa" w:w="201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Audit/ops</w:t>
            </w:r>
          </w:p>
        </w:tc>
        <w:tc>
          <w:tcPr>
            <w:tcW w:type="dxa" w:w="770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Admin action, login/security event, deployment, backup result, error/incident event.</w:t>
            </w:r>
          </w:p>
        </w:tc>
      </w:tr>
    </w:tbl>
    <w:p/>
    <w:p>
      <w:pPr>
        <w:pStyle w:val="Heading1"/>
      </w:pPr>
      <w:r>
        <w:t>8. Non-functional requirements</w:t>
      </w:r>
    </w:p>
    <w:p>
      <w:pPr>
        <w:pStyle w:val="ListBullet"/>
        <w:spacing w:after="40"/>
      </w:pPr>
      <w:r>
        <w:t>Public product, service and article pages must be server-rendered or pre-rendered for SEO and resilience.</w:t>
      </w:r>
    </w:p>
    <w:p>
      <w:pPr>
        <w:pStyle w:val="ListBullet"/>
        <w:spacing w:after="40"/>
      </w:pPr>
      <w:r>
        <w:t>Admin surfaces must not be publicly discoverable without access controls; privileged staff use MFA.</w:t>
      </w:r>
    </w:p>
    <w:p>
      <w:pPr>
        <w:pStyle w:val="ListBullet"/>
        <w:spacing w:after="40"/>
      </w:pPr>
      <w:r>
        <w:t>No raw payment-card data is stored by the CERA application.</w:t>
      </w:r>
    </w:p>
    <w:p>
      <w:pPr>
        <w:pStyle w:val="ListBullet"/>
        <w:spacing w:after="40"/>
      </w:pPr>
      <w:r>
        <w:t>Backups must be automated and a restore test completed before production acceptance.</w:t>
      </w:r>
    </w:p>
    <w:p>
      <w:pPr>
        <w:pStyle w:val="ListBullet"/>
        <w:spacing w:after="40"/>
      </w:pPr>
      <w:r>
        <w:t>Website must remain usable on mobile, keyboard accessible and functional when non-essential animation fails.</w:t>
      </w:r>
    </w:p>
    <w:p>
      <w:pPr>
        <w:pStyle w:val="ListBullet"/>
        <w:spacing w:after="40"/>
      </w:pPr>
      <w:r>
        <w:t>Critical checkout, email, payment webhook and publishing errors must be observable.</w:t>
      </w:r>
    </w:p>
    <w:p>
      <w:pPr>
        <w:pStyle w:val="ListBullet"/>
        <w:spacing w:after="40"/>
      </w:pPr>
      <w:r>
        <w:t>Routine product/content updates must not require source-code changes.</w:t>
      </w:r>
    </w:p>
    <w:p>
      <w:pPr>
        <w:pStyle w:val="Heading1"/>
      </w:pPr>
      <w:r>
        <w:t>9. Explicitly removed from this implementation</w:t>
      </w:r>
    </w:p>
    <w:p>
      <w:pPr>
        <w:pStyle w:val="ListBullet"/>
        <w:spacing w:after="40"/>
      </w:pPr>
      <w:r>
        <w:t>Research CRM opportunity pipeline</w:t>
      </w:r>
    </w:p>
    <w:p>
      <w:pPr>
        <w:pStyle w:val="ListBullet"/>
        <w:spacing w:after="40"/>
      </w:pPr>
      <w:r>
        <w:t>Research proposal/qualification forms</w:t>
      </w:r>
    </w:p>
    <w:p>
      <w:pPr>
        <w:pStyle w:val="ListBullet"/>
        <w:spacing w:after="40"/>
      </w:pPr>
      <w:r>
        <w:t>Research attachment intake and research-file workflow</w:t>
      </w:r>
    </w:p>
    <w:p>
      <w:pPr>
        <w:pStyle w:val="ListBullet"/>
        <w:spacing w:after="40"/>
      </w:pPr>
      <w:r>
        <w:t>Consultation scheduling and proposal follow-up automation</w:t>
      </w:r>
    </w:p>
    <w:p>
      <w:pPr>
        <w:pStyle w:val="ListBullet"/>
        <w:spacing w:after="40"/>
      </w:pPr>
      <w:r>
        <w:t>Research-specific dashboarding and lead scoring</w:t>
      </w:r>
    </w:p>
    <w:sectPr w:rsidR="00FC693F" w:rsidRPr="0006063C" w:rsidSect="00034616">
      <w:footerReference w:type="default" r:id="rId9"/>
      <w:pgSz w:w="12240" w:h="15840"/>
      <w:pgMar w:top="80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B7280"/>
        <w:sz w:val="16"/>
      </w:rPr>
      <w:t>CERA Medical platform documentation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