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Solution Architecture Design</w:t>
      </w:r>
    </w:p>
    <w:p>
      <w:pPr>
        <w:spacing w:after="240"/>
      </w:pPr>
      <w:r>
        <w:rPr>
          <w:color w:val="0F6B6D"/>
          <w:sz w:val="23"/>
        </w:rPr>
        <w:t>Container, deployment, integration and security architecture for the self-hosted CERA platform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F6B6D"/>
                <w:sz w:val="17"/>
              </w:rPr>
              <w:t xml:space="preserve">ARCHITECTURE DECISION  </w:t>
            </w:r>
            <w:r>
              <w:rPr>
                <w:sz w:val="19"/>
              </w:rPr>
              <w:t>Use a modular monolith / small-service architecture on one production server at launch: Next.js + Payload for the public web/content layer, Vendure server + worker for commerce, PostgreSQL for transactional data, Redis/Valkey for jobs/cache, Authentik for protected staff access, GlitchTip for monitoring, and Cloudflare R2 for object storage.</w:t>
            </w:r>
          </w:p>
        </w:tc>
      </w:tr>
    </w:tbl>
    <w:p/>
    <w:p>
      <w:pPr>
        <w:pStyle w:val="Heading1"/>
      </w:pPr>
      <w:r>
        <w:t>1. Container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122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22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7085"/>
          <w:sz w:val="16"/>
        </w:rPr>
        <w:t>Figure 1. Recommended application/container topology</w:t>
      </w:r>
    </w:p>
    <w:p>
      <w:pPr>
        <w:pStyle w:val="Heading1"/>
      </w:pPr>
      <w:r>
        <w:t>2. Public routing and hostnames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04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Hostname / path</w:t>
            </w:r>
          </w:p>
        </w:tc>
        <w:tc>
          <w:tcPr>
            <w:tcW w:type="dxa" w:w="4608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808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Exposure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ceramed.org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Canonical public website, shop, services and blog.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Public via Cloudflare</w:t>
            </w:r>
          </w:p>
        </w:tc>
      </w:tr>
      <w:tr>
        <w:tc>
          <w:tcPr>
            <w:tcW w:type="dxa" w:w="230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www.ceramed.org</w:t>
            </w:r>
          </w:p>
        </w:tc>
        <w:tc>
          <w:tcPr>
            <w:tcW w:type="dxa" w:w="460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Permanent redirect to canonical hostname.</w:t>
            </w:r>
          </w:p>
        </w:tc>
        <w:tc>
          <w:tcPr>
            <w:tcW w:type="dxa" w:w="280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Public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admin.ceramed.org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Protected staff entry to commerce/content tools.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Authentik-protected</w:t>
            </w:r>
          </w:p>
        </w:tc>
      </w:tr>
      <w:tr>
        <w:tc>
          <w:tcPr>
            <w:tcW w:type="dxa" w:w="230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auth.ceramed.org</w:t>
            </w:r>
          </w:p>
        </w:tc>
        <w:tc>
          <w:tcPr>
            <w:tcW w:type="dxa" w:w="460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Authentik login and MFA.</w:t>
            </w:r>
          </w:p>
        </w:tc>
        <w:tc>
          <w:tcPr>
            <w:tcW w:type="dxa" w:w="280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Public login, hardened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errors.ceramed.org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GlitchTip operations UI.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Staff only / protected</w:t>
            </w:r>
          </w:p>
        </w:tc>
      </w:tr>
      <w:tr>
        <w:tc>
          <w:tcPr>
            <w:tcW w:type="dxa" w:w="2304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API endpoints</w:t>
            </w:r>
          </w:p>
        </w:tc>
        <w:tc>
          <w:tcPr>
            <w:tcW w:type="dxa" w:w="460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Vendure GraphQL endpoints behind the application/edge rules.</w:t>
            </w:r>
          </w:p>
        </w:tc>
        <w:tc>
          <w:tcPr>
            <w:tcW w:type="dxa" w:w="280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Only required endpoints public</w:t>
            </w:r>
          </w:p>
        </w:tc>
      </w:tr>
    </w:tbl>
    <w:p/>
    <w:p>
      <w:pPr>
        <w:pStyle w:val="Heading1"/>
      </w:pPr>
      <w:r>
        <w:t>3. Trust boundaries</w:t>
      </w:r>
    </w:p>
    <w:p>
      <w:pPr>
        <w:pStyle w:val="ListBullet"/>
        <w:spacing w:after="40"/>
      </w:pPr>
      <w:r>
        <w:rPr>
          <w:b/>
        </w:rPr>
        <w:t xml:space="preserve">Edge boundary: </w:t>
      </w:r>
      <w:r>
        <w:t>Cloudflare terminates public traffic controls and forwards only expected web traffic to Caddy.</w:t>
      </w:r>
    </w:p>
    <w:p>
      <w:pPr>
        <w:pStyle w:val="ListBullet"/>
        <w:spacing w:after="40"/>
      </w:pPr>
      <w:r>
        <w:rPr>
          <w:b/>
        </w:rPr>
        <w:t xml:space="preserve">Host boundary: </w:t>
      </w:r>
      <w:r>
        <w:t>Hetzner firewall exposes only required ports; databases and Redis are not exposed publicly.</w:t>
      </w:r>
    </w:p>
    <w:p>
      <w:pPr>
        <w:pStyle w:val="ListBullet"/>
        <w:spacing w:after="40"/>
      </w:pPr>
      <w:r>
        <w:rPr>
          <w:b/>
        </w:rPr>
        <w:t xml:space="preserve">Admin boundary: </w:t>
      </w:r>
      <w:r>
        <w:t>Authentik provides an outer access gate for staff tools; Vendure/Payload still enforce their own roles.</w:t>
      </w:r>
    </w:p>
    <w:p>
      <w:pPr>
        <w:pStyle w:val="ListBullet"/>
        <w:spacing w:after="40"/>
      </w:pPr>
      <w:r>
        <w:rPr>
          <w:b/>
        </w:rPr>
        <w:t xml:space="preserve">Payment boundary: </w:t>
      </w:r>
      <w:r>
        <w:t>card/payment credentials stay with the payment provider; CERA stores only references/status required for orders.</w:t>
      </w:r>
    </w:p>
    <w:p>
      <w:pPr>
        <w:pStyle w:val="ListBullet"/>
        <w:spacing w:after="40"/>
      </w:pPr>
      <w:r>
        <w:rPr>
          <w:b/>
        </w:rPr>
        <w:t xml:space="preserve">Object-storage boundary: </w:t>
      </w:r>
      <w:r>
        <w:t>public media can be served through controlled URLs; private objects use restricted access/presigned links.</w:t>
      </w:r>
    </w:p>
    <w:p>
      <w:pPr>
        <w:pStyle w:val="Heading1"/>
      </w:pPr>
      <w:r>
        <w:t>4. Database isolation</w:t>
      </w:r>
    </w:p>
    <w:p>
      <w:pPr>
        <w:pStyle w:val="ListBullet"/>
        <w:spacing w:after="40"/>
      </w:pPr>
      <w:r>
        <w:t>One PostgreSQL service may host multiple logical databases at launch, but Vendure, Payload, Authentik and GlitchTip receive separate databases and least-privilege database users.</w:t>
      </w:r>
    </w:p>
    <w:p>
      <w:pPr>
        <w:pStyle w:val="ListBullet"/>
        <w:spacing w:after="40"/>
      </w:pPr>
      <w:r>
        <w:t>No application receives unrestricted access to another application's tables.</w:t>
      </w:r>
    </w:p>
    <w:p>
      <w:pPr>
        <w:pStyle w:val="ListBullet"/>
        <w:spacing w:after="40"/>
      </w:pPr>
      <w:r>
        <w:t>Database connections stay on the internal Docker network; external database ports remain closed.</w:t>
      </w:r>
    </w:p>
    <w:p>
      <w:pPr>
        <w:pStyle w:val="Heading1"/>
      </w:pPr>
      <w:r>
        <w:t>5. Availability and scale path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44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60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4608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Architecture change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Launch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Normal initial ecommerce/content traffic.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Single 16 GB host; Docker Compose; Cloudflare edge; R2 external storage; automated backups.</w:t>
            </w:r>
          </w:p>
        </w:tc>
      </w:tr>
      <w:tr>
        <w:tc>
          <w:tcPr>
            <w:tcW w:type="dxa" w:w="144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Scale 1</w:t>
            </w:r>
          </w:p>
        </w:tc>
        <w:tc>
          <w:tcPr>
            <w:tcW w:type="dxa" w:w="360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Sustained RAM/CPU pressure or heavy content/commerce jobs.</w:t>
            </w:r>
          </w:p>
        </w:tc>
        <w:tc>
          <w:tcPr>
            <w:tcW w:type="dxa" w:w="460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Resize host or move GlitchTip/AuthentiK to a small operations VM.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Scale 2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Database contention, large order volume or higher availability need.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Separate PostgreSQL to private/managed database; isolate worker/cache.</w:t>
            </w:r>
          </w:p>
        </w:tc>
      </w:tr>
      <w:tr>
        <w:tc>
          <w:tcPr>
            <w:tcW w:type="dxa" w:w="144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Scale 3</w:t>
            </w:r>
          </w:p>
        </w:tc>
        <w:tc>
          <w:tcPr>
            <w:tcW w:type="dxa" w:w="360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High campaign traffic / business-critical SLA.</w:t>
            </w:r>
          </w:p>
        </w:tc>
        <w:tc>
          <w:tcPr>
            <w:tcW w:type="dxa" w:w="4608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Multiple web/API nodes behind load balancer, dedicated database, external queue/cache and formal DR.</w:t>
            </w:r>
          </w:p>
        </w:tc>
      </w:tr>
    </w:tbl>
    <w:p/>
    <w:p>
      <w:pPr>
        <w:pStyle w:val="Heading1"/>
      </w:pPr>
      <w:r>
        <w:t>6. Recommended launch compute</w:t>
      </w:r>
    </w:p>
    <w:p>
      <w:pPr>
        <w:spacing w:after="100"/>
      </w:pPr>
      <w:r>
        <w:rPr>
          <w:b/>
        </w:rPr>
        <w:t xml:space="preserve">Recommended production host: </w:t>
      </w:r>
      <w:r>
        <w:t>Hetzner CX43 class in EU Central: 8 vCPU, 16 GB RAM, 160 GB NVMe, plus Primary IPv4 and automated backups. The 16 GB recommendation is intentional because the chosen stack self-hosts commerce, CMS, identity and observability together.</w:t>
      </w:r>
    </w:p>
    <w:p>
      <w:pPr>
        <w:spacing w:after="100"/>
      </w:pPr>
      <w:r>
        <w:rPr>
          <w:b/>
        </w:rPr>
        <w:t xml:space="preserve">Lean alternative: </w:t>
      </w:r>
      <w:r>
        <w:t>CX33 (4 vCPU / 8 GB / 80 GB) can be used only if actual memory measurements remain comfortable; it is not the preferred production baseline for the full self-hosted stack.</w:t>
      </w:r>
    </w:p>
    <w:p>
      <w:pPr>
        <w:pStyle w:val="Heading1"/>
      </w:pPr>
      <w:r>
        <w:t>7. Network and secrets controls</w:t>
      </w:r>
    </w:p>
    <w:p>
      <w:pPr>
        <w:pStyle w:val="ListBullet"/>
        <w:spacing w:after="40"/>
      </w:pPr>
      <w:r>
        <w:t>Cloudflare proxy enabled for public web hosts.</w:t>
      </w:r>
    </w:p>
    <w:p>
      <w:pPr>
        <w:pStyle w:val="ListBullet"/>
        <w:spacing w:after="40"/>
      </w:pPr>
      <w:r>
        <w:t>Hetzner firewall permits SSH only from controlled sources where practical, and HTTP/HTTPS only to the reverse proxy.</w:t>
      </w:r>
    </w:p>
    <w:p>
      <w:pPr>
        <w:pStyle w:val="ListBullet"/>
        <w:spacing w:after="40"/>
      </w:pPr>
      <w:r>
        <w:t>Secrets stored in protected environment files/secret store and never committed to Git.</w:t>
      </w:r>
    </w:p>
    <w:p>
      <w:pPr>
        <w:pStyle w:val="ListBullet"/>
        <w:spacing w:after="40"/>
      </w:pPr>
      <w:r>
        <w:t>Separate production and staging credentials; rotate credentials during handover when appropriate.</w:t>
      </w:r>
    </w:p>
    <w:p>
      <w:pPr>
        <w:pStyle w:val="ListBullet"/>
        <w:spacing w:after="40"/>
      </w:pPr>
      <w:r>
        <w:t>Webhook signature validation for payment providers and any future courier integrations.</w:t>
      </w:r>
    </w:p>
    <w:p>
      <w:pPr>
        <w:pStyle w:val="Heading1"/>
      </w:pPr>
      <w:r>
        <w:t>8. Architecture principles</w:t>
      </w:r>
    </w:p>
    <w:p>
      <w:pPr>
        <w:pStyle w:val="ListBullet"/>
        <w:spacing w:after="40"/>
      </w:pPr>
      <w:r>
        <w:t>Prefer open-source/self-hosted components when they reduce recurring cost without creating disproportionate operational risk.</w:t>
      </w:r>
    </w:p>
    <w:p>
      <w:pPr>
        <w:pStyle w:val="ListBullet"/>
        <w:spacing w:after="40"/>
      </w:pPr>
      <w:r>
        <w:t>Use managed external services where deliverability, payments, or durable object storage benefit from specialist infrastructure.</w:t>
      </w:r>
    </w:p>
    <w:p>
      <w:pPr>
        <w:pStyle w:val="ListBullet"/>
        <w:spacing w:after="40"/>
      </w:pPr>
      <w:r>
        <w:t>Avoid microservices until measured load or team boundaries justify them.</w:t>
      </w:r>
    </w:p>
    <w:p>
      <w:pPr>
        <w:pStyle w:val="ListBullet"/>
        <w:spacing w:after="40"/>
      </w:pPr>
      <w:r>
        <w:t>Design integrations behind adapters so PayFast/Safepay, email or storage providers can be replaced without rewriting the whole application.</w:t>
      </w:r>
    </w:p>
    <w:sectPr w:rsidR="00FC693F" w:rsidRPr="0006063C" w:rsidSect="00034616">
      <w:footerReference w:type="default" r:id="rId9"/>
      <w:pgSz w:w="12240" w:h="15840"/>
      <w:pgMar w:top="80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6B7280"/>
        <w:sz w:val="16"/>
      </w:rPr>
      <w:t>CERA Medical platform documentation |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6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