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 &amp; Digital UI Design System</w:t>
      </w:r>
    </w:p>
    <w:p>
      <w:pPr>
        <w:spacing w:after="240"/>
      </w:pPr>
      <w:r>
        <w:rPr>
          <w:color w:val="0F6B6D"/>
          <w:sz w:val="23"/>
        </w:rPr>
        <w:t>Proposed digital design language for a credible biomedical commerce and content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F6B6D"/>
                <w:sz w:val="17"/>
              </w:rPr>
              <w:t xml:space="preserve">DESIGN STATUS  </w:t>
            </w:r>
            <w:r>
              <w:rPr>
                <w:sz w:val="19"/>
              </w:rPr>
              <w:t>The existing decision-pack styling provides navy, teal and pale-teal visual cues but does not contain a complete formal CERA brand guideline. This document therefore carries those established cues into a proposed digital system. Final logo files and any pre-existing corporate brand rules should override conflicting details.</w:t>
            </w:r>
          </w:p>
        </w:tc>
      </w:tr>
    </w:tbl>
    <w:p/>
    <w:p>
      <w:pPr>
        <w:pStyle w:val="Heading1"/>
      </w:pPr>
      <w:r>
        <w:t>1. Brand design direction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7704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Digital expression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Scientific credibility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Clean hierarchy, evidence-led content, restrained visual effects, real product/facility imagery and explicit sources/review dates where appropriate.</w:t>
            </w:r>
          </w:p>
        </w:tc>
      </w:tr>
      <w:tr>
        <w:tc>
          <w:tcPr>
            <w:tcW w:type="dxa" w:w="201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Commercial clarity</w:t>
            </w:r>
          </w:p>
        </w:tc>
        <w:tc>
          <w:tcPr>
            <w:tcW w:type="dxa" w:w="770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Strong product pricing/availability, obvious purchase actions, transparent shipping/returns and concise service CTAs.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Calm confidence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White space, deep navy structure and teal accents rather than saturated health-marketing gradients.</w:t>
            </w:r>
          </w:p>
        </w:tc>
      </w:tr>
      <w:tr>
        <w:tc>
          <w:tcPr>
            <w:tcW w:type="dxa" w:w="201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Accessibility</w:t>
            </w:r>
          </w:p>
        </w:tc>
        <w:tc>
          <w:tcPr>
            <w:tcW w:type="dxa" w:w="770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Readable type, high contrast, keyboard states, descriptive labels and no critical information dependent on color/animation.</w:t>
            </w:r>
          </w:p>
        </w:tc>
      </w:tr>
    </w:tbl>
    <w:p/>
    <w:p>
      <w:pPr>
        <w:pStyle w:val="Heading1"/>
      </w:pPr>
      <w:r>
        <w:t>2. Core color tokens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074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type="dxa" w:w="2074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type="dxa" w:w="2074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074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Swatch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Deep Navy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#173B4D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Primary navigation, table headers, strong surfaces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Carried from current decision-pack styling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B4D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CERA Teal</w:t>
            </w:r>
          </w:p>
        </w:tc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#0F6B6D</w:t>
            </w:r>
          </w:p>
        </w:tc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Primary accent, links, highlights, active states</w:t>
            </w:r>
          </w:p>
        </w:tc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Carried from current decision-pack styling</w:t>
            </w:r>
          </w:p>
        </w:tc>
        <w:tc>
          <w:tcPr>
            <w:tcW w:type="dxa" w:w="2074"/>
            <w:shd w:fill="0F6B6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Seafoam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#EEF5F5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Soft cards, alternate rows, low-emphasis sections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Carried from current decision-pack styling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5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Ink</w:t>
            </w:r>
          </w:p>
        </w:tc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#111827</w:t>
            </w:r>
          </w:p>
        </w:tc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Primary body text</w:t>
            </w:r>
          </w:p>
        </w:tc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Proposed semantic token</w:t>
            </w:r>
          </w:p>
        </w:tc>
        <w:tc>
          <w:tcPr>
            <w:tcW w:type="dxa" w:w="2074"/>
            <w:shd w:fill="1118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Canvas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#FFFFFF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Primary background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Proposed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Soft Gray</w:t>
            </w:r>
          </w:p>
        </w:tc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#F7F9FA</w:t>
            </w:r>
          </w:p>
        </w:tc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Secondary surfaces</w:t>
            </w:r>
          </w:p>
        </w:tc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Proposed</w:t>
            </w:r>
          </w:p>
        </w:tc>
        <w:tc>
          <w:tcPr>
            <w:tcW w:type="dxa" w:w="2074"/>
            <w:shd w:fill="F7F9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Success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#14835B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Positive status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Proposed semantic token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4835B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#B7791F</w:t>
            </w:r>
          </w:p>
        </w:tc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Warning/attention</w:t>
            </w:r>
          </w:p>
        </w:tc>
        <w:tc>
          <w:tcPr>
            <w:tcW w:type="dxa" w:w="207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Proposed semantic token</w:t>
            </w:r>
          </w:p>
        </w:tc>
        <w:tc>
          <w:tcPr>
            <w:tcW w:type="dxa" w:w="2074"/>
            <w:shd w:fill="B7791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#B42318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Errors/destructive states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Proposed semantic token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B42318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3. Typography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32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Recommended style</w:t>
            </w:r>
          </w:p>
        </w:tc>
        <w:tc>
          <w:tcPr>
            <w:tcW w:type="dxa" w:w="360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Display / H1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Inter Variable 700-800, 42-56px desktop / 34-42px mobile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Homepage/product/service hero headings.</w:t>
            </w:r>
          </w:p>
        </w:tc>
      </w:tr>
      <w:tr>
        <w:tc>
          <w:tcPr>
            <w:tcW w:type="dxa" w:w="180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H2</w:t>
            </w:r>
          </w:p>
        </w:tc>
        <w:tc>
          <w:tcPr>
            <w:tcW w:type="dxa" w:w="432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Inter Variable 700, 30-36px</w:t>
            </w:r>
          </w:p>
        </w:tc>
        <w:tc>
          <w:tcPr>
            <w:tcW w:type="dxa" w:w="360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Primary page sections.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H3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Inter Variable 650-700, 22-26px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Cards and sub-sections.</w:t>
            </w:r>
          </w:p>
        </w:tc>
      </w:tr>
      <w:tr>
        <w:tc>
          <w:tcPr>
            <w:tcW w:type="dxa" w:w="180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Body</w:t>
            </w:r>
          </w:p>
        </w:tc>
        <w:tc>
          <w:tcPr>
            <w:tcW w:type="dxa" w:w="432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Inter Variable 400-500, 16-18px, 1.5-1.65 line-height</w:t>
            </w:r>
          </w:p>
        </w:tc>
        <w:tc>
          <w:tcPr>
            <w:tcW w:type="dxa" w:w="360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Long-form and interface copy.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UI / labels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Inter Variable 500-650, 13-15px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Buttons, form labels, badges and tables.</w:t>
            </w:r>
          </w:p>
        </w:tc>
      </w:tr>
      <w:tr>
        <w:tc>
          <w:tcPr>
            <w:tcW w:type="dxa" w:w="180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Editorial optional</w:t>
            </w:r>
          </w:p>
        </w:tc>
        <w:tc>
          <w:tcPr>
            <w:tcW w:type="dxa" w:w="432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Source Serif 4 for pull quotes or long scientific editorial emphasis</w:t>
            </w:r>
          </w:p>
        </w:tc>
        <w:tc>
          <w:tcPr>
            <w:tcW w:type="dxa" w:w="360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Use sparingly; do not mix fonts inside normal UI.</w:t>
            </w:r>
          </w:p>
        </w:tc>
      </w:tr>
    </w:tbl>
    <w:p/>
    <w:p>
      <w:pPr>
        <w:pStyle w:val="Heading1"/>
      </w:pPr>
      <w:r>
        <w:t>4. Layout and spacing</w:t>
      </w:r>
    </w:p>
    <w:p>
      <w:pPr>
        <w:pStyle w:val="ListBullet"/>
        <w:spacing w:after="40"/>
      </w:pPr>
      <w:r>
        <w:t>4px base spacing grid; common increments: 4, 8, 12, 16, 24, 32, 48, 64 and 96px.</w:t>
      </w:r>
    </w:p>
    <w:p>
      <w:pPr>
        <w:pStyle w:val="ListBullet"/>
        <w:spacing w:after="40"/>
      </w:pPr>
      <w:r>
        <w:t>Maximum content width approximately 1280px; reading width 720-800px for articles.</w:t>
      </w:r>
    </w:p>
    <w:p>
      <w:pPr>
        <w:pStyle w:val="ListBullet"/>
        <w:spacing w:after="40"/>
      </w:pPr>
      <w:r>
        <w:t>Desktop: 12-column grid; tablet: 8 columns; mobile: 4 columns.</w:t>
      </w:r>
    </w:p>
    <w:p>
      <w:pPr>
        <w:pStyle w:val="ListBullet"/>
        <w:spacing w:after="40"/>
      </w:pPr>
      <w:r>
        <w:t>Cards: 12-16px radius; borders preferred over heavy shadows; shadows only for elevation such as menus/dialogs.</w:t>
      </w:r>
    </w:p>
    <w:p>
      <w:pPr>
        <w:pStyle w:val="ListBullet"/>
        <w:spacing w:after="40"/>
      </w:pPr>
      <w:r>
        <w:t>Touch targets at least 44x44px; maintain visible focus ring and logical tab order.</w:t>
      </w:r>
    </w:p>
    <w:p>
      <w:pPr>
        <w:pStyle w:val="Heading1"/>
      </w:pPr>
      <w:r>
        <w:t>5. Component system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Component family</w:t>
            </w:r>
          </w:p>
        </w:tc>
        <w:tc>
          <w:tcPr>
            <w:tcW w:type="dxa" w:w="756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Required variants / rules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Buttons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Primary teal, secondary outline, tertiary text, destructive; loading/disabled states; one dominant CTA per local section.</w:t>
            </w:r>
          </w:p>
        </w:tc>
      </w:tr>
      <w:tr>
        <w:tc>
          <w:tcPr>
            <w:tcW w:type="dxa" w:w="21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Navigation</w:t>
            </w:r>
          </w:p>
        </w:tc>
        <w:tc>
          <w:tcPr>
            <w:tcW w:type="dxa" w:w="75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Desktop header, mobile drawer, search, account/cart, sticky behavior only when it does not obscure content.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Product cards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Image, title, category, price/sale price, stock/status, review summary if enabled, quick purchase action.</w:t>
            </w:r>
          </w:p>
        </w:tc>
      </w:tr>
      <w:tr>
        <w:tc>
          <w:tcPr>
            <w:tcW w:type="dxa" w:w="21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Product detail</w:t>
            </w:r>
          </w:p>
        </w:tc>
        <w:tc>
          <w:tcPr>
            <w:tcW w:type="dxa" w:w="75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Gallery, title, price, stock, variant selector, quantity, Add to Cart/Buy Now, delivery/support, tabs/accordions for facts/safety/FAQ.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Article cards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Cover image, category, title, excerpt, author/date, related service tag.</w:t>
            </w:r>
          </w:p>
        </w:tc>
      </w:tr>
      <w:tr>
        <w:tc>
          <w:tcPr>
            <w:tcW w:type="dxa" w:w="21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Service cards/pages</w:t>
            </w:r>
          </w:p>
        </w:tc>
        <w:tc>
          <w:tcPr>
            <w:tcW w:type="dxa" w:w="75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Clear problem/fit, description, process/evidence/FAQ, related articles and CTA.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Forms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Persistent labels, inline help, field-level errors, success confirmation, keyboard-first interaction.</w:t>
            </w:r>
          </w:p>
        </w:tc>
      </w:tr>
      <w:tr>
        <w:tc>
          <w:tcPr>
            <w:tcW w:type="dxa" w:w="21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75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Order/payment/stock badges use text + icon/shape, never color alone.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Tables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Strong header, restrained zebra rows, responsive overflow or card transformation on mobile.</w:t>
            </w:r>
          </w:p>
        </w:tc>
      </w:tr>
      <w:tr>
        <w:tc>
          <w:tcPr>
            <w:tcW w:type="dxa" w:w="21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Feedback</w:t>
            </w:r>
          </w:p>
        </w:tc>
        <w:tc>
          <w:tcPr>
            <w:tcW w:type="dxa" w:w="75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Toast for transient confirmation; inline alert for actions requiring attention; modal only for focused tasks.</w:t>
            </w:r>
          </w:p>
        </w:tc>
      </w:tr>
    </w:tbl>
    <w:p/>
    <w:p>
      <w:pPr>
        <w:pStyle w:val="Heading1"/>
      </w:pPr>
      <w:r>
        <w:t>6. Imagery and content</w:t>
      </w:r>
    </w:p>
    <w:p>
      <w:pPr>
        <w:pStyle w:val="ListBullet"/>
        <w:spacing w:after="40"/>
      </w:pPr>
      <w:r>
        <w:t>Prefer real CERA product, people, facility and process photography over generic stock imagery when available.</w:t>
      </w:r>
    </w:p>
    <w:p>
      <w:pPr>
        <w:pStyle w:val="ListBullet"/>
        <w:spacing w:after="40"/>
      </w:pPr>
      <w:r>
        <w:t>Product imagery uses consistent neutral background, aspect ratio and crop rules.</w:t>
      </w:r>
    </w:p>
    <w:p>
      <w:pPr>
        <w:pStyle w:val="ListBullet"/>
        <w:spacing w:after="40"/>
      </w:pPr>
      <w:r>
        <w:t>Blog cover images should support the scientific/editorial theme without implying unapproved therapeutic outcomes.</w:t>
      </w:r>
    </w:p>
    <w:p>
      <w:pPr>
        <w:pStyle w:val="ListBullet"/>
        <w:spacing w:after="40"/>
      </w:pPr>
      <w:r>
        <w:t>Icons should be simple outline icons with a consistent stroke; avoid mixed icon packs.</w:t>
      </w:r>
    </w:p>
    <w:p>
      <w:pPr>
        <w:pStyle w:val="ListBullet"/>
        <w:spacing w:after="40"/>
      </w:pPr>
      <w:r>
        <w:t>Avoid before/after health imagery or sensational medical visuals unless specifically approved and substantiated.</w:t>
      </w:r>
    </w:p>
    <w:p>
      <w:pPr>
        <w:pStyle w:val="Heading1"/>
      </w:pPr>
      <w:r>
        <w:t>7. Voice and copy system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896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type="dxa" w:w="4896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Avoid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Precise, evidence-led and transparent wording.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Guaranteed cures, universal claims or exaggerated outcomes.</w:t>
            </w:r>
          </w:p>
        </w:tc>
      </w:tr>
      <w:tr>
        <w:tc>
          <w:tcPr>
            <w:tcW w:type="dxa" w:w="489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Short commercial headings supported by detailed facts.</w:t>
            </w:r>
          </w:p>
        </w:tc>
        <w:tc>
          <w:tcPr>
            <w:tcW w:type="dxa" w:w="489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Dense promotional copy above critical product facts.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Specific CTA labels such as Add to Cart, View Service, Read Article, Contact CERA.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Generic click-here language.</w:t>
            </w:r>
          </w:p>
        </w:tc>
      </w:tr>
      <w:tr>
        <w:tc>
          <w:tcPr>
            <w:tcW w:type="dxa" w:w="489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Author/reviewer/date context for scientific or health-related articles.</w:t>
            </w:r>
          </w:p>
        </w:tc>
        <w:tc>
          <w:tcPr>
            <w:tcW w:type="dxa" w:w="489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Anonymous medical-sounding authority claims.</w:t>
            </w:r>
          </w:p>
        </w:tc>
      </w:tr>
    </w:tbl>
    <w:p/>
    <w:p>
      <w:pPr>
        <w:pStyle w:val="Heading1"/>
      </w:pPr>
      <w:r>
        <w:t>8. Accessibility baseline</w:t>
      </w:r>
    </w:p>
    <w:p>
      <w:pPr>
        <w:pStyle w:val="ListBullet"/>
        <w:spacing w:after="40"/>
      </w:pPr>
      <w:r>
        <w:t>Target WCAG 2.2 AA patterns for contrast, keyboard use, forms, focus states and semantic structure.</w:t>
      </w:r>
    </w:p>
    <w:p>
      <w:pPr>
        <w:pStyle w:val="ListBullet"/>
        <w:spacing w:after="40"/>
      </w:pPr>
      <w:r>
        <w:t>All informative images receive useful alt text; decorative images use empty alt attributes.</w:t>
      </w:r>
    </w:p>
    <w:p>
      <w:pPr>
        <w:pStyle w:val="ListBullet"/>
        <w:spacing w:after="40"/>
      </w:pPr>
      <w:r>
        <w:t>Form errors identify the field and explain how to correct it.</w:t>
      </w:r>
    </w:p>
    <w:p>
      <w:pPr>
        <w:pStyle w:val="ListBullet"/>
        <w:spacing w:after="40"/>
      </w:pPr>
      <w:r>
        <w:t>Do not place essential content only inside hover interactions or carousels.</w:t>
      </w:r>
    </w:p>
    <w:p>
      <w:pPr>
        <w:pStyle w:val="ListBullet"/>
        <w:spacing w:after="40"/>
      </w:pPr>
      <w:r>
        <w:t>Respect prefers-reduced-motion and keep interaction transitions generally within 150-250ms.</w:t>
      </w:r>
    </w:p>
    <w:sectPr w:rsidR="00FC693F" w:rsidRPr="0006063C" w:rsidSect="00034616">
      <w:footerReference w:type="default" r:id="rId9"/>
      <w:pgSz w:w="12240" w:h="15840"/>
      <w:pgMar w:top="80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6B7280"/>
        <w:sz w:val="16"/>
      </w:rPr>
      <w:t>CERA Medical platform documentation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