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Baseline Cost Schedule</w:t>
      </w:r>
    </w:p>
    <w:p>
      <w:pPr>
        <w:spacing w:after="240"/>
      </w:pPr>
      <w:r>
        <w:rPr>
          <w:color w:val="0F6B6D"/>
          <w:sz w:val="23"/>
        </w:rPr>
        <w:t>Expected launch infrastructure, SaaS and usage-based vendor costs; September 2026 planning values</w:t>
      </w:r>
    </w:p>
    <w:tbl>
      <w:tblPr>
        <w:tblW w:type="auto" w:w="0"/>
        <w:tblLook w:firstColumn="1" w:firstRow="1" w:lastColumn="0" w:lastRow="0" w:noHBand="0" w:noVBand="1" w:val="04A0"/>
      </w:tblPr>
      <w:tblGrid>
        <w:gridCol w:w="10368"/>
      </w:tblGrid>
      <w:tr>
        <w:tc>
          <w:tcPr>
            <w:tcW w:type="dxa" w:w="10368"/>
            <w:shd w:fill="EEF5F5"/>
            <w:tcMar>
              <w:top w:w="140" w:type="dxa"/>
              <w:start w:w="180" w:type="dxa"/>
              <w:bottom w:w="140" w:type="dxa"/>
              <w:end w:w="180" w:type="dxa"/>
            </w:tcMar>
          </w:tcPr>
          <w:p>
            <w:r>
              <w:rPr>
                <w:b/>
                <w:color w:val="0F6B6D"/>
                <w:sz w:val="17"/>
              </w:rPr>
              <w:t xml:space="preserve">COST PRINCIPLE  </w:t>
            </w:r>
            <w:r>
              <w:rPr>
                <w:sz w:val="19"/>
              </w:rPr>
              <w:t>Start on free/open-source tiers where they are operationally sensible. Pay for reliable compute, business email, object storage only when usage exceeds the free allowance, and payment processing per transaction. Upgrade only after measured demand.</w:t>
            </w:r>
          </w:p>
        </w:tc>
      </w:tr>
    </w:tbl>
    <w:p/>
    <w:tbl>
      <w:tblPr>
        <w:tblW w:type="auto" w:w="0"/>
        <w:tblLayout w:type="autofit"/>
        <w:tblLook w:firstColumn="1" w:firstRow="1" w:lastColumn="0" w:lastRow="0" w:noHBand="0" w:noVBand="1" w:val="04A0"/>
      </w:tblPr>
      <w:tblGrid>
        <w:gridCol w:w="2074"/>
        <w:gridCol w:w="2074"/>
        <w:gridCol w:w="2074"/>
        <w:gridCol w:w="2074"/>
        <w:gridCol w:w="2074"/>
      </w:tblGrid>
      <w:tr>
        <w:trPr>
          <w:tblHeader w:val="true"/>
        </w:trPr>
        <w:tc>
          <w:tcPr>
            <w:tcW w:type="dxa" w:w="1800"/>
            <w:shd w:fill="173B4D"/>
            <w:vAlign w:val="center"/>
            <w:tcMar>
              <w:top w:w="90" w:type="dxa"/>
              <w:start w:w="110" w:type="dxa"/>
              <w:bottom w:w="90" w:type="dxa"/>
              <w:end w:w="110" w:type="dxa"/>
            </w:tcMar>
          </w:tcPr>
          <w:p>
            <w:r/>
            <w:r>
              <w:rPr>
                <w:b/>
                <w:color w:val="FFFFFF"/>
                <w:sz w:val="17"/>
              </w:rPr>
              <w:t>Item</w:t>
            </w:r>
          </w:p>
        </w:tc>
        <w:tc>
          <w:tcPr>
            <w:tcW w:type="dxa" w:w="3168"/>
            <w:shd w:fill="173B4D"/>
            <w:vAlign w:val="center"/>
            <w:tcMar>
              <w:top w:w="90" w:type="dxa"/>
              <w:start w:w="110" w:type="dxa"/>
              <w:bottom w:w="90" w:type="dxa"/>
              <w:end w:w="110" w:type="dxa"/>
            </w:tcMar>
          </w:tcPr>
          <w:p>
            <w:r/>
            <w:r>
              <w:rPr>
                <w:b/>
                <w:color w:val="FFFFFF"/>
                <w:sz w:val="17"/>
              </w:rPr>
              <w:t>Baseline</w:t>
            </w:r>
          </w:p>
        </w:tc>
        <w:tc>
          <w:tcPr>
            <w:tcW w:type="dxa" w:w="1944"/>
            <w:shd w:fill="173B4D"/>
            <w:vAlign w:val="center"/>
            <w:tcMar>
              <w:top w:w="90" w:type="dxa"/>
              <w:start w:w="110" w:type="dxa"/>
              <w:bottom w:w="90" w:type="dxa"/>
              <w:end w:w="110" w:type="dxa"/>
            </w:tcMar>
          </w:tcPr>
          <w:p>
            <w:r/>
            <w:r>
              <w:rPr>
                <w:b/>
                <w:color w:val="FFFFFF"/>
                <w:sz w:val="17"/>
              </w:rPr>
              <w:t>USD / vendor price</w:t>
            </w:r>
          </w:p>
        </w:tc>
        <w:tc>
          <w:tcPr>
            <w:tcW w:type="dxa" w:w="1800"/>
            <w:shd w:fill="173B4D"/>
            <w:vAlign w:val="center"/>
            <w:tcMar>
              <w:top w:w="90" w:type="dxa"/>
              <w:start w:w="110" w:type="dxa"/>
              <w:bottom w:w="90" w:type="dxa"/>
              <w:end w:w="110" w:type="dxa"/>
            </w:tcMar>
          </w:tcPr>
          <w:p>
            <w:r/>
            <w:r>
              <w:rPr>
                <w:b/>
                <w:color w:val="FFFFFF"/>
                <w:sz w:val="17"/>
              </w:rPr>
              <w:t>PKR planning</w:t>
            </w:r>
          </w:p>
        </w:tc>
        <w:tc>
          <w:tcPr>
            <w:tcW w:type="dxa" w:w="2160"/>
            <w:shd w:fill="173B4D"/>
            <w:vAlign w:val="center"/>
            <w:tcMar>
              <w:top w:w="90" w:type="dxa"/>
              <w:start w:w="110" w:type="dxa"/>
              <w:bottom w:w="90" w:type="dxa"/>
              <w:end w:w="110" w:type="dxa"/>
            </w:tcMar>
          </w:tcPr>
          <w:p>
            <w:r/>
            <w:r>
              <w:rPr>
                <w:b/>
                <w:color w:val="FFFFFF"/>
                <w:sz w:val="17"/>
              </w:rPr>
              <w:t>Notes</w:t>
            </w:r>
          </w:p>
        </w:tc>
      </w:tr>
      <w:tr>
        <w:tc>
          <w:tcPr>
            <w:tcW w:type="dxa" w:w="1800"/>
            <w:vAlign w:val="center"/>
            <w:tcMar>
              <w:top w:w="90" w:type="dxa"/>
              <w:start w:w="110" w:type="dxa"/>
              <w:bottom w:w="90" w:type="dxa"/>
              <w:end w:w="110" w:type="dxa"/>
            </w:tcMar>
          </w:tcPr>
          <w:p>
            <w:r/>
            <w:r>
              <w:rPr>
                <w:b w:val="0"/>
                <w:sz w:val="15"/>
              </w:rPr>
              <w:t>Hetzner CX43</w:t>
            </w:r>
          </w:p>
        </w:tc>
        <w:tc>
          <w:tcPr>
            <w:tcW w:type="dxa" w:w="3168"/>
            <w:vAlign w:val="center"/>
            <w:tcMar>
              <w:top w:w="90" w:type="dxa"/>
              <w:start w:w="110" w:type="dxa"/>
              <w:bottom w:w="90" w:type="dxa"/>
              <w:end w:w="110" w:type="dxa"/>
            </w:tcMar>
          </w:tcPr>
          <w:p>
            <w:r/>
            <w:r>
              <w:rPr>
                <w:b w:val="0"/>
                <w:sz w:val="15"/>
              </w:rPr>
              <w:t>8 vCPU / 16 GB / 160 GB NVMe, EU Central</w:t>
            </w:r>
          </w:p>
        </w:tc>
        <w:tc>
          <w:tcPr>
            <w:tcW w:type="dxa" w:w="1944"/>
            <w:vAlign w:val="center"/>
            <w:tcMar>
              <w:top w:w="90" w:type="dxa"/>
              <w:start w:w="110" w:type="dxa"/>
              <w:bottom w:w="90" w:type="dxa"/>
              <w:end w:w="110" w:type="dxa"/>
            </w:tcMar>
          </w:tcPr>
          <w:p>
            <w:r/>
            <w:r>
              <w:rPr>
                <w:b w:val="0"/>
                <w:sz w:val="15"/>
              </w:rPr>
              <w:t>$18.49/mo</w:t>
            </w:r>
          </w:p>
        </w:tc>
        <w:tc>
          <w:tcPr>
            <w:tcW w:type="dxa" w:w="1800"/>
            <w:vAlign w:val="center"/>
            <w:tcMar>
              <w:top w:w="90" w:type="dxa"/>
              <w:start w:w="110" w:type="dxa"/>
              <w:bottom w:w="90" w:type="dxa"/>
              <w:end w:w="110" w:type="dxa"/>
            </w:tcMar>
          </w:tcPr>
          <w:p>
            <w:r/>
            <w:r>
              <w:rPr>
                <w:b w:val="0"/>
                <w:sz w:val="15"/>
              </w:rPr>
              <w:t>~PKR 5,550/mo</w:t>
            </w:r>
          </w:p>
        </w:tc>
        <w:tc>
          <w:tcPr>
            <w:tcW w:type="dxa" w:w="2160"/>
            <w:vAlign w:val="center"/>
            <w:tcMar>
              <w:top w:w="90" w:type="dxa"/>
              <w:start w:w="110" w:type="dxa"/>
              <w:bottom w:w="90" w:type="dxa"/>
              <w:end w:w="110" w:type="dxa"/>
            </w:tcMar>
          </w:tcPr>
          <w:p>
            <w:r/>
            <w:r>
              <w:rPr>
                <w:b w:val="0"/>
                <w:sz w:val="15"/>
              </w:rPr>
              <w:t>Recommended production compute</w:t>
            </w:r>
          </w:p>
        </w:tc>
      </w:tr>
      <w:tr>
        <w:tc>
          <w:tcPr>
            <w:tcW w:type="dxa" w:w="1800"/>
            <w:shd w:fill="EEF5F5"/>
            <w:vAlign w:val="center"/>
            <w:tcMar>
              <w:top w:w="90" w:type="dxa"/>
              <w:start w:w="110" w:type="dxa"/>
              <w:bottom w:w="90" w:type="dxa"/>
              <w:end w:w="110" w:type="dxa"/>
            </w:tcMar>
          </w:tcPr>
          <w:p>
            <w:r/>
            <w:r>
              <w:rPr>
                <w:b w:val="0"/>
                <w:sz w:val="15"/>
              </w:rPr>
              <w:t>Primary IPv4</w:t>
            </w:r>
          </w:p>
        </w:tc>
        <w:tc>
          <w:tcPr>
            <w:tcW w:type="dxa" w:w="3168"/>
            <w:shd w:fill="EEF5F5"/>
            <w:vAlign w:val="center"/>
            <w:tcMar>
              <w:top w:w="90" w:type="dxa"/>
              <w:start w:w="110" w:type="dxa"/>
              <w:bottom w:w="90" w:type="dxa"/>
              <w:end w:w="110" w:type="dxa"/>
            </w:tcMar>
          </w:tcPr>
          <w:p>
            <w:r/>
            <w:r>
              <w:rPr>
                <w:b w:val="0"/>
                <w:sz w:val="15"/>
              </w:rPr>
              <w:t>Hetzner public IPv4</w:t>
            </w:r>
          </w:p>
        </w:tc>
        <w:tc>
          <w:tcPr>
            <w:tcW w:type="dxa" w:w="1944"/>
            <w:shd w:fill="EEF5F5"/>
            <w:vAlign w:val="center"/>
            <w:tcMar>
              <w:top w:w="90" w:type="dxa"/>
              <w:start w:w="110" w:type="dxa"/>
              <w:bottom w:w="90" w:type="dxa"/>
              <w:end w:w="110" w:type="dxa"/>
            </w:tcMar>
          </w:tcPr>
          <w:p>
            <w:r/>
            <w:r>
              <w:rPr>
                <w:b w:val="0"/>
                <w:sz w:val="15"/>
              </w:rPr>
              <w:t>$0.60/mo</w:t>
            </w:r>
          </w:p>
        </w:tc>
        <w:tc>
          <w:tcPr>
            <w:tcW w:type="dxa" w:w="1800"/>
            <w:shd w:fill="EEF5F5"/>
            <w:vAlign w:val="center"/>
            <w:tcMar>
              <w:top w:w="90" w:type="dxa"/>
              <w:start w:w="110" w:type="dxa"/>
              <w:bottom w:w="90" w:type="dxa"/>
              <w:end w:w="110" w:type="dxa"/>
            </w:tcMar>
          </w:tcPr>
          <w:p>
            <w:r/>
            <w:r>
              <w:rPr>
                <w:b w:val="0"/>
                <w:sz w:val="15"/>
              </w:rPr>
              <w:t>~PKR 180/mo</w:t>
            </w:r>
          </w:p>
        </w:tc>
        <w:tc>
          <w:tcPr>
            <w:tcW w:type="dxa" w:w="2160"/>
            <w:shd w:fill="EEF5F5"/>
            <w:vAlign w:val="center"/>
            <w:tcMar>
              <w:top w:w="90" w:type="dxa"/>
              <w:start w:w="110" w:type="dxa"/>
              <w:bottom w:w="90" w:type="dxa"/>
              <w:end w:w="110" w:type="dxa"/>
            </w:tcMar>
          </w:tcPr>
          <w:p>
            <w:r/>
            <w:r>
              <w:rPr>
                <w:b w:val="0"/>
                <w:sz w:val="15"/>
              </w:rPr>
              <w:t>IPv6 is free</w:t>
            </w:r>
          </w:p>
        </w:tc>
      </w:tr>
      <w:tr>
        <w:tc>
          <w:tcPr>
            <w:tcW w:type="dxa" w:w="1800"/>
            <w:vAlign w:val="center"/>
            <w:tcMar>
              <w:top w:w="90" w:type="dxa"/>
              <w:start w:w="110" w:type="dxa"/>
              <w:bottom w:w="90" w:type="dxa"/>
              <w:end w:w="110" w:type="dxa"/>
            </w:tcMar>
          </w:tcPr>
          <w:p>
            <w:r/>
            <w:r>
              <w:rPr>
                <w:b w:val="0"/>
                <w:sz w:val="15"/>
              </w:rPr>
              <w:t>Hetzner Backups</w:t>
            </w:r>
          </w:p>
        </w:tc>
        <w:tc>
          <w:tcPr>
            <w:tcW w:type="dxa" w:w="3168"/>
            <w:vAlign w:val="center"/>
            <w:tcMar>
              <w:top w:w="90" w:type="dxa"/>
              <w:start w:w="110" w:type="dxa"/>
              <w:bottom w:w="90" w:type="dxa"/>
              <w:end w:w="110" w:type="dxa"/>
            </w:tcMar>
          </w:tcPr>
          <w:p>
            <w:r/>
            <w:r>
              <w:rPr>
                <w:b w:val="0"/>
                <w:sz w:val="15"/>
              </w:rPr>
              <w:t>7 backup slots; 20% of server price</w:t>
            </w:r>
          </w:p>
        </w:tc>
        <w:tc>
          <w:tcPr>
            <w:tcW w:type="dxa" w:w="1944"/>
            <w:vAlign w:val="center"/>
            <w:tcMar>
              <w:top w:w="90" w:type="dxa"/>
              <w:start w:w="110" w:type="dxa"/>
              <w:bottom w:w="90" w:type="dxa"/>
              <w:end w:w="110" w:type="dxa"/>
            </w:tcMar>
          </w:tcPr>
          <w:p>
            <w:r/>
            <w:r>
              <w:rPr>
                <w:b w:val="0"/>
                <w:sz w:val="15"/>
              </w:rPr>
              <w:t>~$3.70/mo</w:t>
            </w:r>
          </w:p>
        </w:tc>
        <w:tc>
          <w:tcPr>
            <w:tcW w:type="dxa" w:w="1800"/>
            <w:vAlign w:val="center"/>
            <w:tcMar>
              <w:top w:w="90" w:type="dxa"/>
              <w:start w:w="110" w:type="dxa"/>
              <w:bottom w:w="90" w:type="dxa"/>
              <w:end w:w="110" w:type="dxa"/>
            </w:tcMar>
          </w:tcPr>
          <w:p>
            <w:r/>
            <w:r>
              <w:rPr>
                <w:b w:val="0"/>
                <w:sz w:val="15"/>
              </w:rPr>
              <w:t>~PKR 1,110/mo</w:t>
            </w:r>
          </w:p>
        </w:tc>
        <w:tc>
          <w:tcPr>
            <w:tcW w:type="dxa" w:w="2160"/>
            <w:vAlign w:val="center"/>
            <w:tcMar>
              <w:top w:w="90" w:type="dxa"/>
              <w:start w:w="110" w:type="dxa"/>
              <w:bottom w:w="90" w:type="dxa"/>
              <w:end w:w="110" w:type="dxa"/>
            </w:tcMar>
          </w:tcPr>
          <w:p>
            <w:r/>
            <w:r>
              <w:rPr>
                <w:b w:val="0"/>
                <w:sz w:val="15"/>
              </w:rPr>
              <w:t>Server-image backup layer</w:t>
            </w:r>
          </w:p>
        </w:tc>
      </w:tr>
      <w:tr>
        <w:tc>
          <w:tcPr>
            <w:tcW w:type="dxa" w:w="1800"/>
            <w:shd w:fill="EEF5F5"/>
            <w:vAlign w:val="center"/>
            <w:tcMar>
              <w:top w:w="90" w:type="dxa"/>
              <w:start w:w="110" w:type="dxa"/>
              <w:bottom w:w="90" w:type="dxa"/>
              <w:end w:w="110" w:type="dxa"/>
            </w:tcMar>
          </w:tcPr>
          <w:p>
            <w:r/>
            <w:r>
              <w:rPr>
                <w:b w:val="0"/>
                <w:sz w:val="15"/>
              </w:rPr>
              <w:t>Cloudflare Free</w:t>
            </w:r>
          </w:p>
        </w:tc>
        <w:tc>
          <w:tcPr>
            <w:tcW w:type="dxa" w:w="3168"/>
            <w:shd w:fill="EEF5F5"/>
            <w:vAlign w:val="center"/>
            <w:tcMar>
              <w:top w:w="90" w:type="dxa"/>
              <w:start w:w="110" w:type="dxa"/>
              <w:bottom w:w="90" w:type="dxa"/>
              <w:end w:w="110" w:type="dxa"/>
            </w:tcMar>
          </w:tcPr>
          <w:p>
            <w:r/>
            <w:r>
              <w:rPr>
                <w:b w:val="0"/>
                <w:sz w:val="15"/>
              </w:rPr>
              <w:t>DNS, CDN, SSL, DDoS protection, WAF features</w:t>
            </w:r>
          </w:p>
        </w:tc>
        <w:tc>
          <w:tcPr>
            <w:tcW w:type="dxa" w:w="1944"/>
            <w:shd w:fill="EEF5F5"/>
            <w:vAlign w:val="center"/>
            <w:tcMar>
              <w:top w:w="90" w:type="dxa"/>
              <w:start w:w="110" w:type="dxa"/>
              <w:bottom w:w="90" w:type="dxa"/>
              <w:end w:w="110" w:type="dxa"/>
            </w:tcMar>
          </w:tcPr>
          <w:p>
            <w:r/>
            <w:r>
              <w:rPr>
                <w:b w:val="0"/>
                <w:sz w:val="15"/>
              </w:rPr>
              <w:t>$0</w:t>
            </w:r>
          </w:p>
        </w:tc>
        <w:tc>
          <w:tcPr>
            <w:tcW w:type="dxa" w:w="1800"/>
            <w:shd w:fill="EEF5F5"/>
            <w:vAlign w:val="center"/>
            <w:tcMar>
              <w:top w:w="90" w:type="dxa"/>
              <w:start w:w="110" w:type="dxa"/>
              <w:bottom w:w="90" w:type="dxa"/>
              <w:end w:w="110" w:type="dxa"/>
            </w:tcMar>
          </w:tcPr>
          <w:p>
            <w:r/>
            <w:r>
              <w:rPr>
                <w:b w:val="0"/>
                <w:sz w:val="15"/>
              </w:rPr>
              <w:t>PKR 0</w:t>
            </w:r>
          </w:p>
        </w:tc>
        <w:tc>
          <w:tcPr>
            <w:tcW w:type="dxa" w:w="2160"/>
            <w:shd w:fill="EEF5F5"/>
            <w:vAlign w:val="center"/>
            <w:tcMar>
              <w:top w:w="90" w:type="dxa"/>
              <w:start w:w="110" w:type="dxa"/>
              <w:bottom w:w="90" w:type="dxa"/>
              <w:end w:w="110" w:type="dxa"/>
            </w:tcMar>
          </w:tcPr>
          <w:p>
            <w:r/>
            <w:r>
              <w:rPr>
                <w:b w:val="0"/>
                <w:sz w:val="15"/>
              </w:rPr>
              <w:t>Use Free at launch</w:t>
            </w:r>
          </w:p>
        </w:tc>
      </w:tr>
      <w:tr>
        <w:tc>
          <w:tcPr>
            <w:tcW w:type="dxa" w:w="1800"/>
            <w:vAlign w:val="center"/>
            <w:tcMar>
              <w:top w:w="90" w:type="dxa"/>
              <w:start w:w="110" w:type="dxa"/>
              <w:bottom w:w="90" w:type="dxa"/>
              <w:end w:w="110" w:type="dxa"/>
            </w:tcMar>
          </w:tcPr>
          <w:p>
            <w:r/>
            <w:r>
              <w:rPr>
                <w:b w:val="0"/>
                <w:sz w:val="15"/>
              </w:rPr>
              <w:t>Cloudflare R2</w:t>
            </w:r>
          </w:p>
        </w:tc>
        <w:tc>
          <w:tcPr>
            <w:tcW w:type="dxa" w:w="3168"/>
            <w:vAlign w:val="center"/>
            <w:tcMar>
              <w:top w:w="90" w:type="dxa"/>
              <w:start w:w="110" w:type="dxa"/>
              <w:bottom w:w="90" w:type="dxa"/>
              <w:end w:w="110" w:type="dxa"/>
            </w:tcMar>
          </w:tcPr>
          <w:p>
            <w:r/>
            <w:r>
              <w:rPr>
                <w:b w:val="0"/>
                <w:sz w:val="15"/>
              </w:rPr>
              <w:t>First 10 GB-month + included operations free; then $0.015/GB-month standard storage</w:t>
            </w:r>
          </w:p>
        </w:tc>
        <w:tc>
          <w:tcPr>
            <w:tcW w:type="dxa" w:w="1944"/>
            <w:vAlign w:val="center"/>
            <w:tcMar>
              <w:top w:w="90" w:type="dxa"/>
              <w:start w:w="110" w:type="dxa"/>
              <w:bottom w:w="90" w:type="dxa"/>
              <w:end w:w="110" w:type="dxa"/>
            </w:tcMar>
          </w:tcPr>
          <w:p>
            <w:r/>
            <w:r>
              <w:rPr>
                <w:b w:val="0"/>
                <w:sz w:val="15"/>
              </w:rPr>
              <w:t>Usually $0 initially</w:t>
            </w:r>
          </w:p>
        </w:tc>
        <w:tc>
          <w:tcPr>
            <w:tcW w:type="dxa" w:w="1800"/>
            <w:vAlign w:val="center"/>
            <w:tcMar>
              <w:top w:w="90" w:type="dxa"/>
              <w:start w:w="110" w:type="dxa"/>
              <w:bottom w:w="90" w:type="dxa"/>
              <w:end w:w="110" w:type="dxa"/>
            </w:tcMar>
          </w:tcPr>
          <w:p>
            <w:r/>
            <w:r>
              <w:rPr>
                <w:b w:val="0"/>
                <w:sz w:val="15"/>
              </w:rPr>
              <w:t>Usually PKR 0 initially</w:t>
            </w:r>
          </w:p>
        </w:tc>
        <w:tc>
          <w:tcPr>
            <w:tcW w:type="dxa" w:w="2160"/>
            <w:vAlign w:val="center"/>
            <w:tcMar>
              <w:top w:w="90" w:type="dxa"/>
              <w:start w:w="110" w:type="dxa"/>
              <w:bottom w:w="90" w:type="dxa"/>
              <w:end w:w="110" w:type="dxa"/>
            </w:tcMar>
          </w:tcPr>
          <w:p>
            <w:r/>
            <w:r>
              <w:rPr>
                <w:b w:val="0"/>
                <w:sz w:val="15"/>
              </w:rPr>
              <w:t>Egress is free; usage based</w:t>
            </w:r>
          </w:p>
        </w:tc>
      </w:tr>
      <w:tr>
        <w:tc>
          <w:tcPr>
            <w:tcW w:type="dxa" w:w="1800"/>
            <w:shd w:fill="EEF5F5"/>
            <w:vAlign w:val="center"/>
            <w:tcMar>
              <w:top w:w="90" w:type="dxa"/>
              <w:start w:w="110" w:type="dxa"/>
              <w:bottom w:w="90" w:type="dxa"/>
              <w:end w:w="110" w:type="dxa"/>
            </w:tcMar>
          </w:tcPr>
          <w:p>
            <w:r/>
            <w:r>
              <w:rPr>
                <w:b w:val="0"/>
                <w:sz w:val="15"/>
              </w:rPr>
              <w:t>Vendure Core</w:t>
            </w:r>
          </w:p>
        </w:tc>
        <w:tc>
          <w:tcPr>
            <w:tcW w:type="dxa" w:w="3168"/>
            <w:shd w:fill="EEF5F5"/>
            <w:vAlign w:val="center"/>
            <w:tcMar>
              <w:top w:w="90" w:type="dxa"/>
              <w:start w:w="110" w:type="dxa"/>
              <w:bottom w:w="90" w:type="dxa"/>
              <w:end w:w="110" w:type="dxa"/>
            </w:tcMar>
          </w:tcPr>
          <w:p>
            <w:r/>
            <w:r>
              <w:rPr>
                <w:b w:val="0"/>
                <w:sz w:val="15"/>
              </w:rPr>
              <w:t>Self-hosted ecommerce framework</w:t>
            </w:r>
          </w:p>
        </w:tc>
        <w:tc>
          <w:tcPr>
            <w:tcW w:type="dxa" w:w="1944"/>
            <w:shd w:fill="EEF5F5"/>
            <w:vAlign w:val="center"/>
            <w:tcMar>
              <w:top w:w="90" w:type="dxa"/>
              <w:start w:w="110" w:type="dxa"/>
              <w:bottom w:w="90" w:type="dxa"/>
              <w:end w:w="110" w:type="dxa"/>
            </w:tcMar>
          </w:tcPr>
          <w:p>
            <w:r/>
            <w:r>
              <w:rPr>
                <w:b w:val="0"/>
                <w:sz w:val="15"/>
              </w:rPr>
              <w:t>$0 licence</w:t>
            </w:r>
          </w:p>
        </w:tc>
        <w:tc>
          <w:tcPr>
            <w:tcW w:type="dxa" w:w="1800"/>
            <w:shd w:fill="EEF5F5"/>
            <w:vAlign w:val="center"/>
            <w:tcMar>
              <w:top w:w="90" w:type="dxa"/>
              <w:start w:w="110" w:type="dxa"/>
              <w:bottom w:w="90" w:type="dxa"/>
              <w:end w:w="110" w:type="dxa"/>
            </w:tcMar>
          </w:tcPr>
          <w:p>
            <w:r/>
            <w:r>
              <w:rPr>
                <w:b w:val="0"/>
                <w:sz w:val="15"/>
              </w:rPr>
              <w:t>PKR 0</w:t>
            </w:r>
          </w:p>
        </w:tc>
        <w:tc>
          <w:tcPr>
            <w:tcW w:type="dxa" w:w="2160"/>
            <w:shd w:fill="EEF5F5"/>
            <w:vAlign w:val="center"/>
            <w:tcMar>
              <w:top w:w="90" w:type="dxa"/>
              <w:start w:w="110" w:type="dxa"/>
              <w:bottom w:w="90" w:type="dxa"/>
              <w:end w:w="110" w:type="dxa"/>
            </w:tcMar>
          </w:tcPr>
          <w:p>
            <w:r/>
            <w:r>
              <w:rPr>
                <w:b w:val="0"/>
                <w:sz w:val="15"/>
              </w:rPr>
              <w:t>GPLv3 Core</w:t>
            </w:r>
          </w:p>
        </w:tc>
      </w:tr>
      <w:tr>
        <w:tc>
          <w:tcPr>
            <w:tcW w:type="dxa" w:w="1800"/>
            <w:vAlign w:val="center"/>
            <w:tcMar>
              <w:top w:w="90" w:type="dxa"/>
              <w:start w:w="110" w:type="dxa"/>
              <w:bottom w:w="90" w:type="dxa"/>
              <w:end w:w="110" w:type="dxa"/>
            </w:tcMar>
          </w:tcPr>
          <w:p>
            <w:r/>
            <w:r>
              <w:rPr>
                <w:b w:val="0"/>
                <w:sz w:val="15"/>
              </w:rPr>
              <w:t>Payload CMS</w:t>
            </w:r>
          </w:p>
        </w:tc>
        <w:tc>
          <w:tcPr>
            <w:tcW w:type="dxa" w:w="3168"/>
            <w:vAlign w:val="center"/>
            <w:tcMar>
              <w:top w:w="90" w:type="dxa"/>
              <w:start w:w="110" w:type="dxa"/>
              <w:bottom w:w="90" w:type="dxa"/>
              <w:end w:w="110" w:type="dxa"/>
            </w:tcMar>
          </w:tcPr>
          <w:p>
            <w:r/>
            <w:r>
              <w:rPr>
                <w:b w:val="0"/>
                <w:sz w:val="15"/>
              </w:rPr>
              <w:t>Self-hosted CMS</w:t>
            </w:r>
          </w:p>
        </w:tc>
        <w:tc>
          <w:tcPr>
            <w:tcW w:type="dxa" w:w="1944"/>
            <w:vAlign w:val="center"/>
            <w:tcMar>
              <w:top w:w="90" w:type="dxa"/>
              <w:start w:w="110" w:type="dxa"/>
              <w:bottom w:w="90" w:type="dxa"/>
              <w:end w:w="110" w:type="dxa"/>
            </w:tcMar>
          </w:tcPr>
          <w:p>
            <w:r/>
            <w:r>
              <w:rPr>
                <w:b w:val="0"/>
                <w:sz w:val="15"/>
              </w:rPr>
              <w:t>$0 licence</w:t>
            </w:r>
          </w:p>
        </w:tc>
        <w:tc>
          <w:tcPr>
            <w:tcW w:type="dxa" w:w="1800"/>
            <w:vAlign w:val="center"/>
            <w:tcMar>
              <w:top w:w="90" w:type="dxa"/>
              <w:start w:w="110" w:type="dxa"/>
              <w:bottom w:w="90" w:type="dxa"/>
              <w:end w:w="110" w:type="dxa"/>
            </w:tcMar>
          </w:tcPr>
          <w:p>
            <w:r/>
            <w:r>
              <w:rPr>
                <w:b w:val="0"/>
                <w:sz w:val="15"/>
              </w:rPr>
              <w:t>PKR 0</w:t>
            </w:r>
          </w:p>
        </w:tc>
        <w:tc>
          <w:tcPr>
            <w:tcW w:type="dxa" w:w="2160"/>
            <w:vAlign w:val="center"/>
            <w:tcMar>
              <w:top w:w="90" w:type="dxa"/>
              <w:start w:w="110" w:type="dxa"/>
              <w:bottom w:w="90" w:type="dxa"/>
              <w:end w:w="110" w:type="dxa"/>
            </w:tcMar>
          </w:tcPr>
          <w:p>
            <w:r/>
            <w:r>
              <w:rPr>
                <w:b w:val="0"/>
                <w:sz w:val="15"/>
              </w:rPr>
              <w:t>MIT</w:t>
            </w:r>
          </w:p>
        </w:tc>
      </w:tr>
      <w:tr>
        <w:tc>
          <w:tcPr>
            <w:tcW w:type="dxa" w:w="1800"/>
            <w:shd w:fill="EEF5F5"/>
            <w:vAlign w:val="center"/>
            <w:tcMar>
              <w:top w:w="90" w:type="dxa"/>
              <w:start w:w="110" w:type="dxa"/>
              <w:bottom w:w="90" w:type="dxa"/>
              <w:end w:w="110" w:type="dxa"/>
            </w:tcMar>
          </w:tcPr>
          <w:p>
            <w:r/>
            <w:r>
              <w:rPr>
                <w:b w:val="0"/>
                <w:sz w:val="15"/>
              </w:rPr>
              <w:t>Authentik Open Source</w:t>
            </w:r>
          </w:p>
        </w:tc>
        <w:tc>
          <w:tcPr>
            <w:tcW w:type="dxa" w:w="3168"/>
            <w:shd w:fill="EEF5F5"/>
            <w:vAlign w:val="center"/>
            <w:tcMar>
              <w:top w:w="90" w:type="dxa"/>
              <w:start w:w="110" w:type="dxa"/>
              <w:bottom w:w="90" w:type="dxa"/>
              <w:end w:w="110" w:type="dxa"/>
            </w:tcMar>
          </w:tcPr>
          <w:p>
            <w:r/>
            <w:r>
              <w:rPr>
                <w:b w:val="0"/>
                <w:sz w:val="15"/>
              </w:rPr>
              <w:t>Self-hosted staff identity/access</w:t>
            </w:r>
          </w:p>
        </w:tc>
        <w:tc>
          <w:tcPr>
            <w:tcW w:type="dxa" w:w="1944"/>
            <w:shd w:fill="EEF5F5"/>
            <w:vAlign w:val="center"/>
            <w:tcMar>
              <w:top w:w="90" w:type="dxa"/>
              <w:start w:w="110" w:type="dxa"/>
              <w:bottom w:w="90" w:type="dxa"/>
              <w:end w:w="110" w:type="dxa"/>
            </w:tcMar>
          </w:tcPr>
          <w:p>
            <w:r/>
            <w:r>
              <w:rPr>
                <w:b w:val="0"/>
                <w:sz w:val="15"/>
              </w:rPr>
              <w:t>$0 licence</w:t>
            </w:r>
          </w:p>
        </w:tc>
        <w:tc>
          <w:tcPr>
            <w:tcW w:type="dxa" w:w="1800"/>
            <w:shd w:fill="EEF5F5"/>
            <w:vAlign w:val="center"/>
            <w:tcMar>
              <w:top w:w="90" w:type="dxa"/>
              <w:start w:w="110" w:type="dxa"/>
              <w:bottom w:w="90" w:type="dxa"/>
              <w:end w:w="110" w:type="dxa"/>
            </w:tcMar>
          </w:tcPr>
          <w:p>
            <w:r/>
            <w:r>
              <w:rPr>
                <w:b w:val="0"/>
                <w:sz w:val="15"/>
              </w:rPr>
              <w:t>PKR 0</w:t>
            </w:r>
          </w:p>
        </w:tc>
        <w:tc>
          <w:tcPr>
            <w:tcW w:type="dxa" w:w="2160"/>
            <w:shd w:fill="EEF5F5"/>
            <w:vAlign w:val="center"/>
            <w:tcMar>
              <w:top w:w="90" w:type="dxa"/>
              <w:start w:w="110" w:type="dxa"/>
              <w:bottom w:w="90" w:type="dxa"/>
              <w:end w:w="110" w:type="dxa"/>
            </w:tcMar>
          </w:tcPr>
          <w:p>
            <w:r/>
            <w:r>
              <w:rPr>
                <w:b w:val="0"/>
                <w:sz w:val="15"/>
              </w:rPr>
              <w:t>Community support</w:t>
            </w:r>
          </w:p>
        </w:tc>
      </w:tr>
      <w:tr>
        <w:tc>
          <w:tcPr>
            <w:tcW w:type="dxa" w:w="1800"/>
            <w:vAlign w:val="center"/>
            <w:tcMar>
              <w:top w:w="90" w:type="dxa"/>
              <w:start w:w="110" w:type="dxa"/>
              <w:bottom w:w="90" w:type="dxa"/>
              <w:end w:w="110" w:type="dxa"/>
            </w:tcMar>
          </w:tcPr>
          <w:p>
            <w:r/>
            <w:r>
              <w:rPr>
                <w:b w:val="0"/>
                <w:sz w:val="15"/>
              </w:rPr>
              <w:t>GlitchTip self-hosted</w:t>
            </w:r>
          </w:p>
        </w:tc>
        <w:tc>
          <w:tcPr>
            <w:tcW w:type="dxa" w:w="3168"/>
            <w:vAlign w:val="center"/>
            <w:tcMar>
              <w:top w:w="90" w:type="dxa"/>
              <w:start w:w="110" w:type="dxa"/>
              <w:bottom w:w="90" w:type="dxa"/>
              <w:end w:w="110" w:type="dxa"/>
            </w:tcMar>
          </w:tcPr>
          <w:p>
            <w:r/>
            <w:r>
              <w:rPr>
                <w:b w:val="0"/>
                <w:sz w:val="15"/>
              </w:rPr>
              <w:t>Error/performance/uptime monitoring</w:t>
            </w:r>
          </w:p>
        </w:tc>
        <w:tc>
          <w:tcPr>
            <w:tcW w:type="dxa" w:w="1944"/>
            <w:vAlign w:val="center"/>
            <w:tcMar>
              <w:top w:w="90" w:type="dxa"/>
              <w:start w:w="110" w:type="dxa"/>
              <w:bottom w:w="90" w:type="dxa"/>
              <w:end w:w="110" w:type="dxa"/>
            </w:tcMar>
          </w:tcPr>
          <w:p>
            <w:r/>
            <w:r>
              <w:rPr>
                <w:b w:val="0"/>
                <w:sz w:val="15"/>
              </w:rPr>
              <w:t>$0 software</w:t>
            </w:r>
          </w:p>
        </w:tc>
        <w:tc>
          <w:tcPr>
            <w:tcW w:type="dxa" w:w="1800"/>
            <w:vAlign w:val="center"/>
            <w:tcMar>
              <w:top w:w="90" w:type="dxa"/>
              <w:start w:w="110" w:type="dxa"/>
              <w:bottom w:w="90" w:type="dxa"/>
              <w:end w:w="110" w:type="dxa"/>
            </w:tcMar>
          </w:tcPr>
          <w:p>
            <w:r/>
            <w:r>
              <w:rPr>
                <w:b w:val="0"/>
                <w:sz w:val="15"/>
              </w:rPr>
              <w:t>PKR 0</w:t>
            </w:r>
          </w:p>
        </w:tc>
        <w:tc>
          <w:tcPr>
            <w:tcW w:type="dxa" w:w="2160"/>
            <w:vAlign w:val="center"/>
            <w:tcMar>
              <w:top w:w="90" w:type="dxa"/>
              <w:start w:w="110" w:type="dxa"/>
              <w:bottom w:w="90" w:type="dxa"/>
              <w:end w:w="110" w:type="dxa"/>
            </w:tcMar>
          </w:tcPr>
          <w:p>
            <w:r/>
            <w:r>
              <w:rPr>
                <w:b w:val="0"/>
                <w:sz w:val="15"/>
              </w:rPr>
              <w:t>Optional donation/support is separate</w:t>
            </w:r>
          </w:p>
        </w:tc>
      </w:tr>
      <w:tr>
        <w:tc>
          <w:tcPr>
            <w:tcW w:type="dxa" w:w="1800"/>
            <w:shd w:fill="EEF5F5"/>
            <w:vAlign w:val="center"/>
            <w:tcMar>
              <w:top w:w="90" w:type="dxa"/>
              <w:start w:w="110" w:type="dxa"/>
              <w:bottom w:w="90" w:type="dxa"/>
              <w:end w:w="110" w:type="dxa"/>
            </w:tcMar>
          </w:tcPr>
          <w:p>
            <w:r/>
            <w:r>
              <w:rPr>
                <w:b w:val="0"/>
                <w:sz w:val="15"/>
              </w:rPr>
              <w:t>Resend Free</w:t>
            </w:r>
          </w:p>
        </w:tc>
        <w:tc>
          <w:tcPr>
            <w:tcW w:type="dxa" w:w="3168"/>
            <w:shd w:fill="EEF5F5"/>
            <w:vAlign w:val="center"/>
            <w:tcMar>
              <w:top w:w="90" w:type="dxa"/>
              <w:start w:w="110" w:type="dxa"/>
              <w:bottom w:w="90" w:type="dxa"/>
              <w:end w:w="110" w:type="dxa"/>
            </w:tcMar>
          </w:tcPr>
          <w:p>
            <w:r/>
            <w:r>
              <w:rPr>
                <w:b w:val="0"/>
                <w:sz w:val="15"/>
              </w:rPr>
              <w:t>3,000 emails/month; 100/day; 3 domains</w:t>
            </w:r>
          </w:p>
        </w:tc>
        <w:tc>
          <w:tcPr>
            <w:tcW w:type="dxa" w:w="1944"/>
            <w:shd w:fill="EEF5F5"/>
            <w:vAlign w:val="center"/>
            <w:tcMar>
              <w:top w:w="90" w:type="dxa"/>
              <w:start w:w="110" w:type="dxa"/>
              <w:bottom w:w="90" w:type="dxa"/>
              <w:end w:w="110" w:type="dxa"/>
            </w:tcMar>
          </w:tcPr>
          <w:p>
            <w:r/>
            <w:r>
              <w:rPr>
                <w:b w:val="0"/>
                <w:sz w:val="15"/>
              </w:rPr>
              <w:t>$0</w:t>
            </w:r>
          </w:p>
        </w:tc>
        <w:tc>
          <w:tcPr>
            <w:tcW w:type="dxa" w:w="1800"/>
            <w:shd w:fill="EEF5F5"/>
            <w:vAlign w:val="center"/>
            <w:tcMar>
              <w:top w:w="90" w:type="dxa"/>
              <w:start w:w="110" w:type="dxa"/>
              <w:bottom w:w="90" w:type="dxa"/>
              <w:end w:w="110" w:type="dxa"/>
            </w:tcMar>
          </w:tcPr>
          <w:p>
            <w:r/>
            <w:r>
              <w:rPr>
                <w:b w:val="0"/>
                <w:sz w:val="15"/>
              </w:rPr>
              <w:t>PKR 0</w:t>
            </w:r>
          </w:p>
        </w:tc>
        <w:tc>
          <w:tcPr>
            <w:tcW w:type="dxa" w:w="2160"/>
            <w:shd w:fill="EEF5F5"/>
            <w:vAlign w:val="center"/>
            <w:tcMar>
              <w:top w:w="90" w:type="dxa"/>
              <w:start w:w="110" w:type="dxa"/>
              <w:bottom w:w="90" w:type="dxa"/>
              <w:end w:w="110" w:type="dxa"/>
            </w:tcMar>
          </w:tcPr>
          <w:p>
            <w:r/>
            <w:r>
              <w:rPr>
                <w:b w:val="0"/>
                <w:sz w:val="15"/>
              </w:rPr>
              <w:t>Upgrade only when limits are exceeded</w:t>
            </w:r>
          </w:p>
        </w:tc>
      </w:tr>
      <w:tr>
        <w:tc>
          <w:tcPr>
            <w:tcW w:type="dxa" w:w="1800"/>
            <w:vAlign w:val="center"/>
            <w:tcMar>
              <w:top w:w="90" w:type="dxa"/>
              <w:start w:w="110" w:type="dxa"/>
              <w:bottom w:w="90" w:type="dxa"/>
              <w:end w:w="110" w:type="dxa"/>
            </w:tcMar>
          </w:tcPr>
          <w:p>
            <w:r/>
            <w:r>
              <w:rPr>
                <w:b w:val="0"/>
                <w:sz w:val="15"/>
              </w:rPr>
              <w:t>Resend Pro trigger</w:t>
            </w:r>
          </w:p>
        </w:tc>
        <w:tc>
          <w:tcPr>
            <w:tcW w:type="dxa" w:w="3168"/>
            <w:vAlign w:val="center"/>
            <w:tcMar>
              <w:top w:w="90" w:type="dxa"/>
              <w:start w:w="110" w:type="dxa"/>
              <w:bottom w:w="90" w:type="dxa"/>
              <w:end w:w="110" w:type="dxa"/>
            </w:tcMar>
          </w:tcPr>
          <w:p>
            <w:r/>
            <w:r>
              <w:rPr>
                <w:b w:val="0"/>
                <w:sz w:val="15"/>
              </w:rPr>
              <w:t>50,000 emails/month</w:t>
            </w:r>
          </w:p>
        </w:tc>
        <w:tc>
          <w:tcPr>
            <w:tcW w:type="dxa" w:w="1944"/>
            <w:vAlign w:val="center"/>
            <w:tcMar>
              <w:top w:w="90" w:type="dxa"/>
              <w:start w:w="110" w:type="dxa"/>
              <w:bottom w:w="90" w:type="dxa"/>
              <w:end w:w="110" w:type="dxa"/>
            </w:tcMar>
          </w:tcPr>
          <w:p>
            <w:r/>
            <w:r>
              <w:rPr>
                <w:b w:val="0"/>
                <w:sz w:val="15"/>
              </w:rPr>
              <w:t>$20/mo</w:t>
            </w:r>
          </w:p>
        </w:tc>
        <w:tc>
          <w:tcPr>
            <w:tcW w:type="dxa" w:w="1800"/>
            <w:vAlign w:val="center"/>
            <w:tcMar>
              <w:top w:w="90" w:type="dxa"/>
              <w:start w:w="110" w:type="dxa"/>
              <w:bottom w:w="90" w:type="dxa"/>
              <w:end w:w="110" w:type="dxa"/>
            </w:tcMar>
          </w:tcPr>
          <w:p>
            <w:r/>
            <w:r>
              <w:rPr>
                <w:b w:val="0"/>
                <w:sz w:val="15"/>
              </w:rPr>
              <w:t>~PKR 6,000/mo</w:t>
            </w:r>
          </w:p>
        </w:tc>
        <w:tc>
          <w:tcPr>
            <w:tcW w:type="dxa" w:w="2160"/>
            <w:vAlign w:val="center"/>
            <w:tcMar>
              <w:top w:w="90" w:type="dxa"/>
              <w:start w:w="110" w:type="dxa"/>
              <w:bottom w:w="90" w:type="dxa"/>
              <w:end w:w="110" w:type="dxa"/>
            </w:tcMar>
          </w:tcPr>
          <w:p>
            <w:r/>
            <w:r>
              <w:rPr>
                <w:b w:val="0"/>
                <w:sz w:val="15"/>
              </w:rPr>
              <w:t>Only when needed</w:t>
            </w:r>
          </w:p>
        </w:tc>
      </w:tr>
      <w:tr>
        <w:tc>
          <w:tcPr>
            <w:tcW w:type="dxa" w:w="1800"/>
            <w:shd w:fill="EEF5F5"/>
            <w:vAlign w:val="center"/>
            <w:tcMar>
              <w:top w:w="90" w:type="dxa"/>
              <w:start w:w="110" w:type="dxa"/>
              <w:bottom w:w="90" w:type="dxa"/>
              <w:end w:w="110" w:type="dxa"/>
            </w:tcMar>
          </w:tcPr>
          <w:p>
            <w:r/>
            <w:r>
              <w:rPr>
                <w:b w:val="0"/>
                <w:sz w:val="15"/>
              </w:rPr>
              <w:t>Zoho Mail Lite</w:t>
            </w:r>
          </w:p>
        </w:tc>
        <w:tc>
          <w:tcPr>
            <w:tcW w:type="dxa" w:w="3168"/>
            <w:shd w:fill="EEF5F5"/>
            <w:vAlign w:val="center"/>
            <w:tcMar>
              <w:top w:w="90" w:type="dxa"/>
              <w:start w:w="110" w:type="dxa"/>
              <w:bottom w:w="90" w:type="dxa"/>
              <w:end w:w="110" w:type="dxa"/>
            </w:tcMar>
          </w:tcPr>
          <w:p>
            <w:r/>
            <w:r>
              <w:rPr>
                <w:b w:val="0"/>
                <w:sz w:val="15"/>
              </w:rPr>
              <w:t>Planning assumption: 5 staff mailboxes at about $1/user/mo billed annually</w:t>
            </w:r>
          </w:p>
        </w:tc>
        <w:tc>
          <w:tcPr>
            <w:tcW w:type="dxa" w:w="1944"/>
            <w:shd w:fill="EEF5F5"/>
            <w:vAlign w:val="center"/>
            <w:tcMar>
              <w:top w:w="90" w:type="dxa"/>
              <w:start w:w="110" w:type="dxa"/>
              <w:bottom w:w="90" w:type="dxa"/>
              <w:end w:w="110" w:type="dxa"/>
            </w:tcMar>
          </w:tcPr>
          <w:p>
            <w:r/>
            <w:r>
              <w:rPr>
                <w:b w:val="0"/>
                <w:sz w:val="15"/>
              </w:rPr>
              <w:t>~$5/mo</w:t>
            </w:r>
          </w:p>
        </w:tc>
        <w:tc>
          <w:tcPr>
            <w:tcW w:type="dxa" w:w="1800"/>
            <w:shd w:fill="EEF5F5"/>
            <w:vAlign w:val="center"/>
            <w:tcMar>
              <w:top w:w="90" w:type="dxa"/>
              <w:start w:w="110" w:type="dxa"/>
              <w:bottom w:w="90" w:type="dxa"/>
              <w:end w:w="110" w:type="dxa"/>
            </w:tcMar>
          </w:tcPr>
          <w:p>
            <w:r/>
            <w:r>
              <w:rPr>
                <w:b w:val="0"/>
                <w:sz w:val="15"/>
              </w:rPr>
              <w:t>~PKR 1,500/mo</w:t>
            </w:r>
          </w:p>
        </w:tc>
        <w:tc>
          <w:tcPr>
            <w:tcW w:type="dxa" w:w="2160"/>
            <w:shd w:fill="EEF5F5"/>
            <w:vAlign w:val="center"/>
            <w:tcMar>
              <w:top w:w="90" w:type="dxa"/>
              <w:start w:w="110" w:type="dxa"/>
              <w:bottom w:w="90" w:type="dxa"/>
              <w:end w:w="110" w:type="dxa"/>
            </w:tcMar>
          </w:tcPr>
          <w:p>
            <w:r/>
            <w:r>
              <w:rPr>
                <w:b w:val="0"/>
                <w:sz w:val="15"/>
              </w:rPr>
              <w:t>Regional pricing/tax must be confirmed at purchase</w:t>
            </w:r>
          </w:p>
        </w:tc>
      </w:tr>
      <w:tr>
        <w:tc>
          <w:tcPr>
            <w:tcW w:type="dxa" w:w="1800"/>
            <w:vAlign w:val="center"/>
            <w:tcMar>
              <w:top w:w="90" w:type="dxa"/>
              <w:start w:w="110" w:type="dxa"/>
              <w:bottom w:w="90" w:type="dxa"/>
              <w:end w:w="110" w:type="dxa"/>
            </w:tcMar>
          </w:tcPr>
          <w:p>
            <w:r/>
            <w:r>
              <w:rPr>
                <w:b w:val="0"/>
                <w:sz w:val="15"/>
              </w:rPr>
              <w:t>Domain</w:t>
            </w:r>
          </w:p>
        </w:tc>
        <w:tc>
          <w:tcPr>
            <w:tcW w:type="dxa" w:w="3168"/>
            <w:vAlign w:val="center"/>
            <w:tcMar>
              <w:top w:w="90" w:type="dxa"/>
              <w:start w:w="110" w:type="dxa"/>
              <w:bottom w:w="90" w:type="dxa"/>
              <w:end w:w="110" w:type="dxa"/>
            </w:tcMar>
          </w:tcPr>
          <w:p>
            <w:r/>
            <w:r>
              <w:rPr>
                <w:b w:val="0"/>
                <w:sz w:val="15"/>
              </w:rPr>
              <w:t>ceramed.org is retained</w:t>
            </w:r>
          </w:p>
        </w:tc>
        <w:tc>
          <w:tcPr>
            <w:tcW w:type="dxa" w:w="1944"/>
            <w:vAlign w:val="center"/>
            <w:tcMar>
              <w:top w:w="90" w:type="dxa"/>
              <w:start w:w="110" w:type="dxa"/>
              <w:bottom w:w="90" w:type="dxa"/>
              <w:end w:w="110" w:type="dxa"/>
            </w:tcMar>
          </w:tcPr>
          <w:p>
            <w:r/>
            <w:r>
              <w:rPr>
                <w:b w:val="0"/>
                <w:sz w:val="15"/>
              </w:rPr>
              <w:t>Registrar-dependent</w:t>
            </w:r>
          </w:p>
        </w:tc>
        <w:tc>
          <w:tcPr>
            <w:tcW w:type="dxa" w:w="1800"/>
            <w:vAlign w:val="center"/>
            <w:tcMar>
              <w:top w:w="90" w:type="dxa"/>
              <w:start w:w="110" w:type="dxa"/>
              <w:bottom w:w="90" w:type="dxa"/>
              <w:end w:w="110" w:type="dxa"/>
            </w:tcMar>
          </w:tcPr>
          <w:p>
            <w:r/>
            <w:r>
              <w:rPr>
                <w:b w:val="0"/>
                <w:sz w:val="15"/>
              </w:rPr>
              <w:t>Verify renewal invoice</w:t>
            </w:r>
          </w:p>
        </w:tc>
        <w:tc>
          <w:tcPr>
            <w:tcW w:type="dxa" w:w="2160"/>
            <w:vAlign w:val="center"/>
            <w:tcMar>
              <w:top w:w="90" w:type="dxa"/>
              <w:start w:w="110" w:type="dxa"/>
              <w:bottom w:w="90" w:type="dxa"/>
              <w:end w:w="110" w:type="dxa"/>
            </w:tcMar>
          </w:tcPr>
          <w:p>
            <w:r/>
            <w:r>
              <w:rPr>
                <w:b w:val="0"/>
                <w:sz w:val="15"/>
              </w:rPr>
              <w:t>No new primary domain required</w:t>
            </w:r>
          </w:p>
        </w:tc>
      </w:tr>
    </w:tbl>
    <w:p/>
    <w:p>
      <w:pPr>
        <w:pStyle w:val="Heading1"/>
      </w:pPr>
      <w:r>
        <w:t>Expected monthly baseline</w:t>
      </w:r>
    </w:p>
    <w:tbl>
      <w:tblPr>
        <w:tblW w:type="auto" w:w="0"/>
        <w:tblLayout w:type="autofit"/>
        <w:tblLook w:firstColumn="1" w:firstRow="1" w:lastColumn="0" w:lastRow="0" w:noHBand="0" w:noVBand="1" w:val="04A0"/>
      </w:tblPr>
      <w:tblGrid>
        <w:gridCol w:w="3456"/>
        <w:gridCol w:w="3456"/>
        <w:gridCol w:w="3456"/>
      </w:tblGrid>
      <w:tr>
        <w:trPr>
          <w:tblHeader w:val="true"/>
        </w:trPr>
        <w:tc>
          <w:tcPr>
            <w:tcW w:type="dxa" w:w="2016"/>
            <w:shd w:fill="173B4D"/>
            <w:vAlign w:val="center"/>
            <w:tcMar>
              <w:top w:w="90" w:type="dxa"/>
              <w:start w:w="110" w:type="dxa"/>
              <w:bottom w:w="90" w:type="dxa"/>
              <w:end w:w="110" w:type="dxa"/>
            </w:tcMar>
          </w:tcPr>
          <w:p>
            <w:r/>
            <w:r>
              <w:rPr>
                <w:b/>
                <w:color w:val="FFFFFF"/>
                <w:sz w:val="17"/>
              </w:rPr>
              <w:t>Scenario</w:t>
            </w:r>
          </w:p>
        </w:tc>
        <w:tc>
          <w:tcPr>
            <w:tcW w:type="dxa" w:w="3168"/>
            <w:shd w:fill="173B4D"/>
            <w:vAlign w:val="center"/>
            <w:tcMar>
              <w:top w:w="90" w:type="dxa"/>
              <w:start w:w="110" w:type="dxa"/>
              <w:bottom w:w="90" w:type="dxa"/>
              <w:end w:w="110" w:type="dxa"/>
            </w:tcMar>
          </w:tcPr>
          <w:p>
            <w:r/>
            <w:r>
              <w:rPr>
                <w:b/>
                <w:color w:val="FFFFFF"/>
                <w:sz w:val="17"/>
              </w:rPr>
              <w:t>Expected recurring baseline</w:t>
            </w:r>
          </w:p>
        </w:tc>
        <w:tc>
          <w:tcPr>
            <w:tcW w:type="dxa" w:w="4896"/>
            <w:shd w:fill="173B4D"/>
            <w:vAlign w:val="center"/>
            <w:tcMar>
              <w:top w:w="90" w:type="dxa"/>
              <w:start w:w="110" w:type="dxa"/>
              <w:bottom w:w="90" w:type="dxa"/>
              <w:end w:w="110" w:type="dxa"/>
            </w:tcMar>
          </w:tcPr>
          <w:p>
            <w:r/>
            <w:r>
              <w:rPr>
                <w:b/>
                <w:color w:val="FFFFFF"/>
                <w:sz w:val="17"/>
              </w:rPr>
              <w:t>What it assumes</w:t>
            </w:r>
          </w:p>
        </w:tc>
      </w:tr>
      <w:tr>
        <w:tc>
          <w:tcPr>
            <w:tcW w:type="dxa" w:w="2016"/>
            <w:vAlign w:val="center"/>
            <w:tcMar>
              <w:top w:w="90" w:type="dxa"/>
              <w:start w:w="110" w:type="dxa"/>
              <w:bottom w:w="90" w:type="dxa"/>
              <w:end w:w="110" w:type="dxa"/>
            </w:tcMar>
          </w:tcPr>
          <w:p>
            <w:r/>
            <w:r>
              <w:rPr>
                <w:b w:val="0"/>
                <w:sz w:val="16"/>
              </w:rPr>
              <w:t>Recommended launch</w:t>
            </w:r>
          </w:p>
        </w:tc>
        <w:tc>
          <w:tcPr>
            <w:tcW w:type="dxa" w:w="3168"/>
            <w:vAlign w:val="center"/>
            <w:tcMar>
              <w:top w:w="90" w:type="dxa"/>
              <w:start w:w="110" w:type="dxa"/>
              <w:bottom w:w="90" w:type="dxa"/>
              <w:end w:w="110" w:type="dxa"/>
            </w:tcMar>
          </w:tcPr>
          <w:p>
            <w:r/>
            <w:r>
              <w:rPr>
                <w:b w:val="0"/>
                <w:sz w:val="16"/>
              </w:rPr>
              <w:t>Approximately PKR 8,300-10,000/month before tax/FX</w:t>
            </w:r>
          </w:p>
        </w:tc>
        <w:tc>
          <w:tcPr>
            <w:tcW w:type="dxa" w:w="4896"/>
            <w:vAlign w:val="center"/>
            <w:tcMar>
              <w:top w:w="90" w:type="dxa"/>
              <w:start w:w="110" w:type="dxa"/>
              <w:bottom w:w="90" w:type="dxa"/>
              <w:end w:w="110" w:type="dxa"/>
            </w:tcMar>
          </w:tcPr>
          <w:p>
            <w:r/>
            <w:r>
              <w:rPr>
                <w:b w:val="0"/>
                <w:sz w:val="16"/>
              </w:rPr>
              <w:t>CX43 + IPv4 + Hetzner backups + ~5 Zoho seats; Cloudflare/R2/Resend remain inside free launch tiers.</w:t>
            </w:r>
          </w:p>
        </w:tc>
      </w:tr>
      <w:tr>
        <w:tc>
          <w:tcPr>
            <w:tcW w:type="dxa" w:w="2016"/>
            <w:shd w:fill="EEF5F5"/>
            <w:vAlign w:val="center"/>
            <w:tcMar>
              <w:top w:w="90" w:type="dxa"/>
              <w:start w:w="110" w:type="dxa"/>
              <w:bottom w:w="90" w:type="dxa"/>
              <w:end w:w="110" w:type="dxa"/>
            </w:tcMar>
          </w:tcPr>
          <w:p>
            <w:r/>
            <w:r>
              <w:rPr>
                <w:b w:val="0"/>
                <w:sz w:val="16"/>
              </w:rPr>
              <w:t>Safe planning envelope</w:t>
            </w:r>
          </w:p>
        </w:tc>
        <w:tc>
          <w:tcPr>
            <w:tcW w:type="dxa" w:w="3168"/>
            <w:shd w:fill="EEF5F5"/>
            <w:vAlign w:val="center"/>
            <w:tcMar>
              <w:top w:w="90" w:type="dxa"/>
              <w:start w:w="110" w:type="dxa"/>
              <w:bottom w:w="90" w:type="dxa"/>
              <w:end w:w="110" w:type="dxa"/>
            </w:tcMar>
          </w:tcPr>
          <w:p>
            <w:r/>
            <w:r>
              <w:rPr>
                <w:b w:val="0"/>
                <w:sz w:val="16"/>
              </w:rPr>
              <w:t>PKR 10,000-15,000/month</w:t>
            </w:r>
          </w:p>
        </w:tc>
        <w:tc>
          <w:tcPr>
            <w:tcW w:type="dxa" w:w="4896"/>
            <w:shd w:fill="EEF5F5"/>
            <w:vAlign w:val="center"/>
            <w:tcMar>
              <w:top w:w="90" w:type="dxa"/>
              <w:start w:w="110" w:type="dxa"/>
              <w:bottom w:w="90" w:type="dxa"/>
              <w:end w:w="110" w:type="dxa"/>
            </w:tcMar>
          </w:tcPr>
          <w:p>
            <w:r/>
            <w:r>
              <w:rPr>
                <w:b w:val="0"/>
                <w:sz w:val="16"/>
              </w:rPr>
              <w:t>Allows taxes/FX, some R2 usage, small operational add-ons and moderate variance.</w:t>
            </w:r>
          </w:p>
        </w:tc>
      </w:tr>
      <w:tr>
        <w:tc>
          <w:tcPr>
            <w:tcW w:type="dxa" w:w="2016"/>
            <w:vAlign w:val="center"/>
            <w:tcMar>
              <w:top w:w="90" w:type="dxa"/>
              <w:start w:w="110" w:type="dxa"/>
              <w:bottom w:w="90" w:type="dxa"/>
              <w:end w:w="110" w:type="dxa"/>
            </w:tcMar>
          </w:tcPr>
          <w:p>
            <w:r/>
            <w:r>
              <w:rPr>
                <w:b w:val="0"/>
                <w:sz w:val="16"/>
              </w:rPr>
              <w:t>Email growth</w:t>
            </w:r>
          </w:p>
        </w:tc>
        <w:tc>
          <w:tcPr>
            <w:tcW w:type="dxa" w:w="3168"/>
            <w:vAlign w:val="center"/>
            <w:tcMar>
              <w:top w:w="90" w:type="dxa"/>
              <w:start w:w="110" w:type="dxa"/>
              <w:bottom w:w="90" w:type="dxa"/>
              <w:end w:w="110" w:type="dxa"/>
            </w:tcMar>
          </w:tcPr>
          <w:p>
            <w:r/>
            <w:r>
              <w:rPr>
                <w:b w:val="0"/>
                <w:sz w:val="16"/>
              </w:rPr>
              <w:t>Add about PKR 6,000/month when Resend Pro becomes necessary</w:t>
            </w:r>
          </w:p>
        </w:tc>
        <w:tc>
          <w:tcPr>
            <w:tcW w:type="dxa" w:w="4896"/>
            <w:vAlign w:val="center"/>
            <w:tcMar>
              <w:top w:w="90" w:type="dxa"/>
              <w:start w:w="110" w:type="dxa"/>
              <w:bottom w:w="90" w:type="dxa"/>
              <w:end w:w="110" w:type="dxa"/>
            </w:tcMar>
          </w:tcPr>
          <w:p>
            <w:r/>
            <w:r>
              <w:rPr>
                <w:b w:val="0"/>
                <w:sz w:val="16"/>
              </w:rPr>
              <w:t>Only after transactional volume exceeds free limits or daily cap becomes restrictive.</w:t>
            </w:r>
          </w:p>
        </w:tc>
      </w:tr>
      <w:tr>
        <w:tc>
          <w:tcPr>
            <w:tcW w:type="dxa" w:w="2016"/>
            <w:shd w:fill="EEF5F5"/>
            <w:vAlign w:val="center"/>
            <w:tcMar>
              <w:top w:w="90" w:type="dxa"/>
              <w:start w:w="110" w:type="dxa"/>
              <w:bottom w:w="90" w:type="dxa"/>
              <w:end w:w="110" w:type="dxa"/>
            </w:tcMar>
          </w:tcPr>
          <w:p>
            <w:r/>
            <w:r>
              <w:rPr>
                <w:b w:val="0"/>
                <w:sz w:val="16"/>
              </w:rPr>
              <w:t>Cloudflare upgrade</w:t>
            </w:r>
          </w:p>
        </w:tc>
        <w:tc>
          <w:tcPr>
            <w:tcW w:type="dxa" w:w="3168"/>
            <w:shd w:fill="EEF5F5"/>
            <w:vAlign w:val="center"/>
            <w:tcMar>
              <w:top w:w="90" w:type="dxa"/>
              <w:start w:w="110" w:type="dxa"/>
              <w:bottom w:w="90" w:type="dxa"/>
              <w:end w:w="110" w:type="dxa"/>
            </w:tcMar>
          </w:tcPr>
          <w:p>
            <w:r/>
            <w:r>
              <w:rPr>
                <w:b w:val="0"/>
                <w:sz w:val="16"/>
              </w:rPr>
              <w:t>Optional +$20/month (~PKR 6,000) for Pro billed annually</w:t>
            </w:r>
          </w:p>
        </w:tc>
        <w:tc>
          <w:tcPr>
            <w:tcW w:type="dxa" w:w="4896"/>
            <w:shd w:fill="EEF5F5"/>
            <w:vAlign w:val="center"/>
            <w:tcMar>
              <w:top w:w="90" w:type="dxa"/>
              <w:start w:w="110" w:type="dxa"/>
              <w:bottom w:w="90" w:type="dxa"/>
              <w:end w:w="110" w:type="dxa"/>
            </w:tcMar>
          </w:tcPr>
          <w:p>
            <w:r/>
            <w:r>
              <w:rPr>
                <w:b w:val="0"/>
                <w:sz w:val="16"/>
              </w:rPr>
              <w:t>Not required at launch; use when paid Pro features become justified.</w:t>
            </w:r>
          </w:p>
        </w:tc>
      </w:tr>
    </w:tbl>
    <w:p/>
    <w:p>
      <w:pPr>
        <w:pStyle w:val="Heading1"/>
      </w:pPr>
      <w:r>
        <w:t>Usage-based payment costs</w:t>
      </w:r>
    </w:p>
    <w:tbl>
      <w:tblPr>
        <w:tblW w:type="auto" w:w="0"/>
        <w:tblLayout w:type="autofit"/>
        <w:tblLook w:firstColumn="1" w:firstRow="1" w:lastColumn="0" w:lastRow="0" w:noHBand="0" w:noVBand="1" w:val="04A0"/>
      </w:tblPr>
      <w:tblGrid>
        <w:gridCol w:w="3456"/>
        <w:gridCol w:w="3456"/>
        <w:gridCol w:w="3456"/>
      </w:tblGrid>
      <w:tr>
        <w:trPr>
          <w:tblHeader w:val="true"/>
        </w:trPr>
        <w:tc>
          <w:tcPr>
            <w:tcW w:type="dxa" w:w="3024"/>
            <w:shd w:fill="173B4D"/>
            <w:vAlign w:val="center"/>
            <w:tcMar>
              <w:top w:w="90" w:type="dxa"/>
              <w:start w:w="110" w:type="dxa"/>
              <w:bottom w:w="90" w:type="dxa"/>
              <w:end w:w="110" w:type="dxa"/>
            </w:tcMar>
          </w:tcPr>
          <w:p>
            <w:r/>
            <w:r>
              <w:rPr>
                <w:b/>
                <w:color w:val="FFFFFF"/>
                <w:sz w:val="17"/>
              </w:rPr>
              <w:t>Provider / method</w:t>
            </w:r>
          </w:p>
        </w:tc>
        <w:tc>
          <w:tcPr>
            <w:tcW w:type="dxa" w:w="2304"/>
            <w:shd w:fill="173B4D"/>
            <w:vAlign w:val="center"/>
            <w:tcMar>
              <w:top w:w="90" w:type="dxa"/>
              <w:start w:w="110" w:type="dxa"/>
              <w:bottom w:w="90" w:type="dxa"/>
              <w:end w:w="110" w:type="dxa"/>
            </w:tcMar>
          </w:tcPr>
          <w:p>
            <w:r/>
            <w:r>
              <w:rPr>
                <w:b/>
                <w:color w:val="FFFFFF"/>
                <w:sz w:val="17"/>
              </w:rPr>
              <w:t>Published fee</w:t>
            </w:r>
          </w:p>
        </w:tc>
        <w:tc>
          <w:tcPr>
            <w:tcW w:type="dxa" w:w="4752"/>
            <w:shd w:fill="173B4D"/>
            <w:vAlign w:val="center"/>
            <w:tcMar>
              <w:top w:w="90" w:type="dxa"/>
              <w:start w:w="110" w:type="dxa"/>
              <w:bottom w:w="90" w:type="dxa"/>
              <w:end w:w="110" w:type="dxa"/>
            </w:tcMar>
          </w:tcPr>
          <w:p>
            <w:r/>
            <w:r>
              <w:rPr>
                <w:b/>
                <w:color w:val="FFFFFF"/>
                <w:sz w:val="17"/>
              </w:rPr>
              <w:t>Planning treatment</w:t>
            </w:r>
          </w:p>
        </w:tc>
      </w:tr>
      <w:tr>
        <w:tc>
          <w:tcPr>
            <w:tcW w:type="dxa" w:w="3024"/>
            <w:vAlign w:val="center"/>
            <w:tcMar>
              <w:top w:w="90" w:type="dxa"/>
              <w:start w:w="110" w:type="dxa"/>
              <w:bottom w:w="90" w:type="dxa"/>
              <w:end w:w="110" w:type="dxa"/>
            </w:tcMar>
          </w:tcPr>
          <w:p>
            <w:r/>
            <w:r>
              <w:rPr>
                <w:b w:val="0"/>
                <w:sz w:val="16"/>
              </w:rPr>
              <w:t>PayFast - Raast QR</w:t>
            </w:r>
          </w:p>
        </w:tc>
        <w:tc>
          <w:tcPr>
            <w:tcW w:type="dxa" w:w="2304"/>
            <w:vAlign w:val="center"/>
            <w:tcMar>
              <w:top w:w="90" w:type="dxa"/>
              <w:start w:w="110" w:type="dxa"/>
              <w:bottom w:w="90" w:type="dxa"/>
              <w:end w:w="110" w:type="dxa"/>
            </w:tcMar>
          </w:tcPr>
          <w:p>
            <w:r/>
            <w:r>
              <w:rPr>
                <w:b w:val="0"/>
                <w:sz w:val="16"/>
              </w:rPr>
              <w:t>0.60%</w:t>
            </w:r>
          </w:p>
        </w:tc>
        <w:tc>
          <w:tcPr>
            <w:tcW w:type="dxa" w:w="4752"/>
            <w:vAlign w:val="center"/>
            <w:tcMar>
              <w:top w:w="90" w:type="dxa"/>
              <w:start w:w="110" w:type="dxa"/>
              <w:bottom w:w="90" w:type="dxa"/>
              <w:end w:w="110" w:type="dxa"/>
            </w:tcMar>
          </w:tcPr>
          <w:p>
            <w:r/>
            <w:r>
              <w:rPr>
                <w:b w:val="0"/>
                <w:sz w:val="16"/>
              </w:rPr>
              <w:t>Paid by CERA per successful payment.</w:t>
            </w:r>
          </w:p>
        </w:tc>
      </w:tr>
      <w:tr>
        <w:tc>
          <w:tcPr>
            <w:tcW w:type="dxa" w:w="3024"/>
            <w:shd w:fill="EEF5F5"/>
            <w:vAlign w:val="center"/>
            <w:tcMar>
              <w:top w:w="90" w:type="dxa"/>
              <w:start w:w="110" w:type="dxa"/>
              <w:bottom w:w="90" w:type="dxa"/>
              <w:end w:w="110" w:type="dxa"/>
            </w:tcMar>
          </w:tcPr>
          <w:p>
            <w:r/>
            <w:r>
              <w:rPr>
                <w:b w:val="0"/>
                <w:sz w:val="16"/>
              </w:rPr>
              <w:t>PayFast - Raast Request-to-Pay</w:t>
            </w:r>
          </w:p>
        </w:tc>
        <w:tc>
          <w:tcPr>
            <w:tcW w:type="dxa" w:w="2304"/>
            <w:shd w:fill="EEF5F5"/>
            <w:vAlign w:val="center"/>
            <w:tcMar>
              <w:top w:w="90" w:type="dxa"/>
              <w:start w:w="110" w:type="dxa"/>
              <w:bottom w:w="90" w:type="dxa"/>
              <w:end w:w="110" w:type="dxa"/>
            </w:tcMar>
          </w:tcPr>
          <w:p>
            <w:r/>
            <w:r>
              <w:rPr>
                <w:b w:val="0"/>
                <w:sz w:val="16"/>
              </w:rPr>
              <w:t>0.95%</w:t>
            </w:r>
          </w:p>
        </w:tc>
        <w:tc>
          <w:tcPr>
            <w:tcW w:type="dxa" w:w="4752"/>
            <w:shd w:fill="EEF5F5"/>
            <w:vAlign w:val="center"/>
            <w:tcMar>
              <w:top w:w="90" w:type="dxa"/>
              <w:start w:w="110" w:type="dxa"/>
              <w:bottom w:w="90" w:type="dxa"/>
              <w:end w:w="110" w:type="dxa"/>
            </w:tcMar>
          </w:tcPr>
          <w:p>
            <w:r/>
            <w:r>
              <w:rPr>
                <w:b w:val="0"/>
                <w:sz w:val="16"/>
              </w:rPr>
              <w:t>Paid by CERA per successful payment.</w:t>
            </w:r>
          </w:p>
        </w:tc>
      </w:tr>
      <w:tr>
        <w:tc>
          <w:tcPr>
            <w:tcW w:type="dxa" w:w="3024"/>
            <w:vAlign w:val="center"/>
            <w:tcMar>
              <w:top w:w="90" w:type="dxa"/>
              <w:start w:w="110" w:type="dxa"/>
              <w:bottom w:w="90" w:type="dxa"/>
              <w:end w:w="110" w:type="dxa"/>
            </w:tcMar>
          </w:tcPr>
          <w:p>
            <w:r/>
            <w:r>
              <w:rPr>
                <w:b w:val="0"/>
                <w:sz w:val="16"/>
              </w:rPr>
              <w:t>PayFast - Bank account</w:t>
            </w:r>
          </w:p>
        </w:tc>
        <w:tc>
          <w:tcPr>
            <w:tcW w:type="dxa" w:w="2304"/>
            <w:vAlign w:val="center"/>
            <w:tcMar>
              <w:top w:w="90" w:type="dxa"/>
              <w:start w:w="110" w:type="dxa"/>
              <w:bottom w:w="90" w:type="dxa"/>
              <w:end w:w="110" w:type="dxa"/>
            </w:tcMar>
          </w:tcPr>
          <w:p>
            <w:r/>
            <w:r>
              <w:rPr>
                <w:b w:val="0"/>
                <w:sz w:val="16"/>
              </w:rPr>
              <w:t>2.20%</w:t>
            </w:r>
          </w:p>
        </w:tc>
        <w:tc>
          <w:tcPr>
            <w:tcW w:type="dxa" w:w="4752"/>
            <w:vAlign w:val="center"/>
            <w:tcMar>
              <w:top w:w="90" w:type="dxa"/>
              <w:start w:w="110" w:type="dxa"/>
              <w:bottom w:w="90" w:type="dxa"/>
              <w:end w:w="110" w:type="dxa"/>
            </w:tcMar>
          </w:tcPr>
          <w:p>
            <w:r/>
            <w:r>
              <w:rPr>
                <w:b w:val="0"/>
                <w:sz w:val="16"/>
              </w:rPr>
              <w:t>Paid by CERA per successful payment.</w:t>
            </w:r>
          </w:p>
        </w:tc>
      </w:tr>
      <w:tr>
        <w:tc>
          <w:tcPr>
            <w:tcW w:type="dxa" w:w="3024"/>
            <w:shd w:fill="EEF5F5"/>
            <w:vAlign w:val="center"/>
            <w:tcMar>
              <w:top w:w="90" w:type="dxa"/>
              <w:start w:w="110" w:type="dxa"/>
              <w:bottom w:w="90" w:type="dxa"/>
              <w:end w:w="110" w:type="dxa"/>
            </w:tcMar>
          </w:tcPr>
          <w:p>
            <w:r/>
            <w:r>
              <w:rPr>
                <w:b w:val="0"/>
                <w:sz w:val="16"/>
              </w:rPr>
              <w:t>PayFast - Wallet</w:t>
            </w:r>
          </w:p>
        </w:tc>
        <w:tc>
          <w:tcPr>
            <w:tcW w:type="dxa" w:w="2304"/>
            <w:shd w:fill="EEF5F5"/>
            <w:vAlign w:val="center"/>
            <w:tcMar>
              <w:top w:w="90" w:type="dxa"/>
              <w:start w:w="110" w:type="dxa"/>
              <w:bottom w:w="90" w:type="dxa"/>
              <w:end w:w="110" w:type="dxa"/>
            </w:tcMar>
          </w:tcPr>
          <w:p>
            <w:r/>
            <w:r>
              <w:rPr>
                <w:b w:val="0"/>
                <w:sz w:val="16"/>
              </w:rPr>
              <w:t>2.20%</w:t>
            </w:r>
          </w:p>
        </w:tc>
        <w:tc>
          <w:tcPr>
            <w:tcW w:type="dxa" w:w="4752"/>
            <w:shd w:fill="EEF5F5"/>
            <w:vAlign w:val="center"/>
            <w:tcMar>
              <w:top w:w="90" w:type="dxa"/>
              <w:start w:w="110" w:type="dxa"/>
              <w:bottom w:w="90" w:type="dxa"/>
              <w:end w:w="110" w:type="dxa"/>
            </w:tcMar>
          </w:tcPr>
          <w:p>
            <w:r/>
            <w:r>
              <w:rPr>
                <w:b w:val="0"/>
                <w:sz w:val="16"/>
              </w:rPr>
              <w:t>Paid by CERA per successful payment.</w:t>
            </w:r>
          </w:p>
        </w:tc>
      </w:tr>
      <w:tr>
        <w:tc>
          <w:tcPr>
            <w:tcW w:type="dxa" w:w="3024"/>
            <w:vAlign w:val="center"/>
            <w:tcMar>
              <w:top w:w="90" w:type="dxa"/>
              <w:start w:w="110" w:type="dxa"/>
              <w:bottom w:w="90" w:type="dxa"/>
              <w:end w:w="110" w:type="dxa"/>
            </w:tcMar>
          </w:tcPr>
          <w:p>
            <w:r/>
            <w:r>
              <w:rPr>
                <w:b w:val="0"/>
                <w:sz w:val="16"/>
              </w:rPr>
              <w:t>PayFast - Local debit/credit card</w:t>
            </w:r>
          </w:p>
        </w:tc>
        <w:tc>
          <w:tcPr>
            <w:tcW w:type="dxa" w:w="2304"/>
            <w:vAlign w:val="center"/>
            <w:tcMar>
              <w:top w:w="90" w:type="dxa"/>
              <w:start w:w="110" w:type="dxa"/>
              <w:bottom w:w="90" w:type="dxa"/>
              <w:end w:w="110" w:type="dxa"/>
            </w:tcMar>
          </w:tcPr>
          <w:p>
            <w:r/>
            <w:r>
              <w:rPr>
                <w:b w:val="0"/>
                <w:sz w:val="16"/>
              </w:rPr>
              <w:t>2.95%</w:t>
            </w:r>
          </w:p>
        </w:tc>
        <w:tc>
          <w:tcPr>
            <w:tcW w:type="dxa" w:w="4752"/>
            <w:vAlign w:val="center"/>
            <w:tcMar>
              <w:top w:w="90" w:type="dxa"/>
              <w:start w:w="110" w:type="dxa"/>
              <w:bottom w:w="90" w:type="dxa"/>
              <w:end w:w="110" w:type="dxa"/>
            </w:tcMar>
          </w:tcPr>
          <w:p>
            <w:r/>
            <w:r>
              <w:rPr>
                <w:b w:val="0"/>
                <w:sz w:val="16"/>
              </w:rPr>
              <w:t>Paid by CERA per successful payment.</w:t>
            </w:r>
          </w:p>
        </w:tc>
      </w:tr>
      <w:tr>
        <w:tc>
          <w:tcPr>
            <w:tcW w:type="dxa" w:w="3024"/>
            <w:shd w:fill="EEF5F5"/>
            <w:vAlign w:val="center"/>
            <w:tcMar>
              <w:top w:w="90" w:type="dxa"/>
              <w:start w:w="110" w:type="dxa"/>
              <w:bottom w:w="90" w:type="dxa"/>
              <w:end w:w="110" w:type="dxa"/>
            </w:tcMar>
          </w:tcPr>
          <w:p>
            <w:r/>
            <w:r>
              <w:rPr>
                <w:b w:val="0"/>
                <w:sz w:val="16"/>
              </w:rPr>
              <w:t>Safepay - domestic cards</w:t>
            </w:r>
          </w:p>
        </w:tc>
        <w:tc>
          <w:tcPr>
            <w:tcW w:type="dxa" w:w="2304"/>
            <w:shd w:fill="EEF5F5"/>
            <w:vAlign w:val="center"/>
            <w:tcMar>
              <w:top w:w="90" w:type="dxa"/>
              <w:start w:w="110" w:type="dxa"/>
              <w:bottom w:w="90" w:type="dxa"/>
              <w:end w:w="110" w:type="dxa"/>
            </w:tcMar>
          </w:tcPr>
          <w:p>
            <w:r/>
            <w:r>
              <w:rPr>
                <w:b w:val="0"/>
                <w:sz w:val="16"/>
              </w:rPr>
              <w:t>2.9% + PKR 30</w:t>
            </w:r>
          </w:p>
        </w:tc>
        <w:tc>
          <w:tcPr>
            <w:tcW w:type="dxa" w:w="4752"/>
            <w:shd w:fill="EEF5F5"/>
            <w:vAlign w:val="center"/>
            <w:tcMar>
              <w:top w:w="90" w:type="dxa"/>
              <w:start w:w="110" w:type="dxa"/>
              <w:bottom w:w="90" w:type="dxa"/>
              <w:end w:w="110" w:type="dxa"/>
            </w:tcMar>
          </w:tcPr>
          <w:p>
            <w:r/>
            <w:r>
              <w:rPr>
                <w:b w:val="0"/>
                <w:sz w:val="16"/>
              </w:rPr>
              <w:t>Alternative gateway; paid per successful charge.</w:t>
            </w:r>
          </w:p>
        </w:tc>
      </w:tr>
      <w:tr>
        <w:tc>
          <w:tcPr>
            <w:tcW w:type="dxa" w:w="3024"/>
            <w:vAlign w:val="center"/>
            <w:tcMar>
              <w:top w:w="90" w:type="dxa"/>
              <w:start w:w="110" w:type="dxa"/>
              <w:bottom w:w="90" w:type="dxa"/>
              <w:end w:w="110" w:type="dxa"/>
            </w:tcMar>
          </w:tcPr>
          <w:p>
            <w:r/>
            <w:r>
              <w:rPr>
                <w:b w:val="0"/>
                <w:sz w:val="16"/>
              </w:rPr>
              <w:t>Safepay - wallets / Raast</w:t>
            </w:r>
          </w:p>
        </w:tc>
        <w:tc>
          <w:tcPr>
            <w:tcW w:type="dxa" w:w="2304"/>
            <w:vAlign w:val="center"/>
            <w:tcMar>
              <w:top w:w="90" w:type="dxa"/>
              <w:start w:w="110" w:type="dxa"/>
              <w:bottom w:w="90" w:type="dxa"/>
              <w:end w:w="110" w:type="dxa"/>
            </w:tcMar>
          </w:tcPr>
          <w:p>
            <w:r/>
            <w:r>
              <w:rPr>
                <w:b w:val="0"/>
                <w:sz w:val="16"/>
              </w:rPr>
              <w:t>1.5%</w:t>
            </w:r>
          </w:p>
        </w:tc>
        <w:tc>
          <w:tcPr>
            <w:tcW w:type="dxa" w:w="4752"/>
            <w:vAlign w:val="center"/>
            <w:tcMar>
              <w:top w:w="90" w:type="dxa"/>
              <w:start w:w="110" w:type="dxa"/>
              <w:bottom w:w="90" w:type="dxa"/>
              <w:end w:w="110" w:type="dxa"/>
            </w:tcMar>
          </w:tcPr>
          <w:p>
            <w:r/>
            <w:r>
              <w:rPr>
                <w:b w:val="0"/>
                <w:sz w:val="16"/>
              </w:rPr>
              <w:t>Published standard rate; verify merchant agreement.</w:t>
            </w:r>
          </w:p>
        </w:tc>
      </w:tr>
    </w:tbl>
    <w:p/>
    <w:p>
      <w:pPr>
        <w:pStyle w:val="Heading1"/>
      </w:pPr>
      <w:r>
        <w:t>Costs intentionally avoided at launch</w:t>
      </w:r>
    </w:p>
    <w:p>
      <w:pPr>
        <w:pStyle w:val="ListBullet"/>
        <w:spacing w:after="40"/>
      </w:pPr>
      <w:r>
        <w:t>No managed PostgreSQL subscription.</w:t>
      </w:r>
    </w:p>
    <w:p>
      <w:pPr>
        <w:pStyle w:val="ListBullet"/>
        <w:spacing w:after="40"/>
      </w:pPr>
      <w:r>
        <w:t>No managed Redis subscription.</w:t>
      </w:r>
    </w:p>
    <w:p>
      <w:pPr>
        <w:pStyle w:val="ListBullet"/>
        <w:spacing w:after="40"/>
      </w:pPr>
      <w:r>
        <w:t>No hosted Sentry subscription because GlitchTip is self-hosted.</w:t>
      </w:r>
    </w:p>
    <w:p>
      <w:pPr>
        <w:pStyle w:val="ListBullet"/>
        <w:spacing w:after="40"/>
      </w:pPr>
      <w:r>
        <w:t>No commercial CMS licence.</w:t>
      </w:r>
    </w:p>
    <w:p>
      <w:pPr>
        <w:pStyle w:val="ListBullet"/>
        <w:spacing w:after="40"/>
      </w:pPr>
      <w:r>
        <w:t>No commercial ecommerce licence for Vendure Core.</w:t>
      </w:r>
    </w:p>
    <w:p>
      <w:pPr>
        <w:pStyle w:val="ListBullet"/>
        <w:spacing w:after="40"/>
      </w:pPr>
      <w:r>
        <w:t>No MinIO/storage server.</w:t>
      </w:r>
    </w:p>
    <w:p>
      <w:pPr>
        <w:pStyle w:val="ListBullet"/>
        <w:spacing w:after="40"/>
      </w:pPr>
      <w:r>
        <w:t>No Cloudflare Pro unless a specific paid feature is required.</w:t>
      </w:r>
    </w:p>
    <w:p>
      <w:pPr>
        <w:pStyle w:val="ListBullet"/>
        <w:spacing w:after="40"/>
      </w:pPr>
      <w:r>
        <w:t>No self-hosted email server operational burden.</w:t>
      </w:r>
    </w:p>
    <w:p>
      <w:pPr>
        <w:pStyle w:val="Heading1"/>
      </w:pPr>
      <w:r>
        <w:t>Sources and verification notes</w:t>
      </w:r>
    </w:p>
    <w:p>
      <w:r>
        <w:t>Vendor prices and product/licensing statements below were checked against official public sources in September 2026. USD-to-PKR conversions use a planning rate of PKR 300/USD and exclude taxes, bank/FX charges and future vendor price changes.</w:t>
      </w:r>
    </w:p>
    <w:p>
      <w:pPr>
        <w:pStyle w:val="ListBullet"/>
      </w:pPr>
      <w:r>
        <w:t>https://docs.hetzner.com/general/infrastructure-and-availability/price-adjustment/ - CX43 price after 15 June 2026 adjustment.</w:t>
      </w:r>
    </w:p>
    <w:p>
      <w:pPr>
        <w:pStyle w:val="ListBullet"/>
      </w:pPr>
      <w:r>
        <w:t>https://docs.hetzner.com/cloud/servers/primary-ips/overview/ - Primary IPv4 pricing.</w:t>
      </w:r>
    </w:p>
    <w:p>
      <w:pPr>
        <w:pStyle w:val="ListBullet"/>
      </w:pPr>
      <w:r>
        <w:t>https://docs.hetzner.com/cloud/billing/faq/ - cloud backups billed at 20% of server price.</w:t>
      </w:r>
    </w:p>
    <w:p>
      <w:pPr>
        <w:pStyle w:val="ListBullet"/>
      </w:pPr>
      <w:r>
        <w:t>https://www.cloudflare.com/plans/ - Cloudflare Free and Pro pricing.</w:t>
      </w:r>
    </w:p>
    <w:p>
      <w:pPr>
        <w:pStyle w:val="ListBullet"/>
      </w:pPr>
      <w:r>
        <w:t>https://developers.cloudflare.com/r2/pricing/ - R2 free tier and usage pricing.</w:t>
      </w:r>
    </w:p>
    <w:p>
      <w:pPr>
        <w:pStyle w:val="ListBullet"/>
      </w:pPr>
      <w:r>
        <w:t>https://resend.com/pricing - Resend Free and Pro limits/prices.</w:t>
      </w:r>
    </w:p>
    <w:p>
      <w:pPr>
        <w:pStyle w:val="ListBullet"/>
      </w:pPr>
      <w:r>
        <w:t>https://www.zoho.com/mail/zohomail-pricing.html - Zoho Mail plan information; displayed currency may vary by region.</w:t>
      </w:r>
    </w:p>
    <w:p>
      <w:pPr>
        <w:pStyle w:val="ListBullet"/>
      </w:pPr>
      <w:r>
        <w:t>https://gopayfast.com/pricing/ - PayFast merchant transaction pricing.</w:t>
      </w:r>
    </w:p>
    <w:p>
      <w:pPr>
        <w:pStyle w:val="ListBullet"/>
      </w:pPr>
      <w:r>
        <w:t>https://safepay.pk/pricing - Safepay transaction pricing.</w:t>
      </w:r>
    </w:p>
    <w:sectPr w:rsidR="00FC693F" w:rsidRPr="0006063C" w:rsidSect="00034616">
      <w:footerReference w:type="default" r:id="rId9"/>
      <w:pgSz w:w="12240" w:h="15840"/>
      <w:pgMar w:top="80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6B7280"/>
        <w:sz w:val="16"/>
      </w:rPr>
      <w:t>CERA Medical platform documentation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6B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