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Scope, Responsibilities &amp; Change Control</w:t>
      </w:r>
    </w:p>
    <w:p>
      <w:pPr>
        <w:spacing w:after="240"/>
      </w:pPr>
      <w:r>
        <w:rPr>
          <w:color w:val="0F6B6D"/>
          <w:sz w:val="23"/>
        </w:rPr>
        <w:t>Implementation boundary, ownership and client/team responsibilities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5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0F6B6D"/>
                <w:sz w:val="17"/>
              </w:rPr>
              <w:t xml:space="preserve">SCOPE POSITION  </w:t>
            </w:r>
            <w:r>
              <w:rPr>
                <w:sz w:val="19"/>
              </w:rPr>
              <w:t>The implementation is a commerce + content platform. Earlier research CRM, research proposal intake, research opportunity management, research attachment workflow and research consultation automation are removed from the first-release scope.</w:t>
            </w:r>
          </w:p>
        </w:tc>
      </w:tr>
    </w:tbl>
    <w:p/>
    <w:p>
      <w:pPr>
        <w:pStyle w:val="Heading1"/>
      </w:pPr>
      <w:r>
        <w:t>1. Included system areas</w:t>
      </w:r>
    </w:p>
    <w:p>
      <w:pPr>
        <w:pStyle w:val="ListBullet"/>
        <w:spacing w:after="40"/>
      </w:pPr>
      <w:r>
        <w:t>Next.js responsive public website.</w:t>
      </w:r>
    </w:p>
    <w:p>
      <w:pPr>
        <w:pStyle w:val="ListBullet"/>
        <w:spacing w:after="40"/>
      </w:pPr>
      <w:r>
        <w:t>Vendure product catalogue, variants, stock, cart, checkout, orders, promotions and core customer operations.</w:t>
      </w:r>
    </w:p>
    <w:p>
      <w:pPr>
        <w:pStyle w:val="ListBullet"/>
        <w:spacing w:after="40"/>
      </w:pPr>
      <w:r>
        <w:t>One agreed online payment gateway integration plus COD/bank transfer where required.</w:t>
      </w:r>
    </w:p>
    <w:p>
      <w:pPr>
        <w:pStyle w:val="ListBullet"/>
        <w:spacing w:after="40"/>
      </w:pPr>
      <w:r>
        <w:t>Shipping rule configuration; courier API only if credentials/specification are ready and specifically agreed.</w:t>
      </w:r>
    </w:p>
    <w:p>
      <w:pPr>
        <w:pStyle w:val="ListBullet"/>
        <w:spacing w:after="40"/>
      </w:pPr>
      <w:r>
        <w:t>Payload CMS for blog, services, pages, authors, media metadata and site settings.</w:t>
      </w:r>
    </w:p>
    <w:p>
      <w:pPr>
        <w:pStyle w:val="ListBullet"/>
        <w:spacing w:after="40"/>
      </w:pPr>
      <w:r>
        <w:t>Cloudflare R2 media/file integration.</w:t>
      </w:r>
    </w:p>
    <w:p>
      <w:pPr>
        <w:pStyle w:val="ListBullet"/>
        <w:spacing w:after="40"/>
      </w:pPr>
      <w:r>
        <w:t>Authentik protected staff/admin access layer.</w:t>
      </w:r>
    </w:p>
    <w:p>
      <w:pPr>
        <w:pStyle w:val="ListBullet"/>
        <w:spacing w:after="40"/>
      </w:pPr>
      <w:r>
        <w:t>Self-hosted GlitchTip monitoring.</w:t>
      </w:r>
    </w:p>
    <w:p>
      <w:pPr>
        <w:pStyle w:val="ListBullet"/>
        <w:spacing w:after="40"/>
      </w:pPr>
      <w:r>
        <w:t>Zoho domain mail setup/routing support and Resend transactional email integration.</w:t>
      </w:r>
    </w:p>
    <w:p>
      <w:pPr>
        <w:pStyle w:val="ListBullet"/>
        <w:spacing w:after="40"/>
      </w:pPr>
      <w:r>
        <w:t>Cloudflare DNS/CDN/security configuration, Docker production deployment and backup jobs.</w:t>
      </w:r>
    </w:p>
    <w:p>
      <w:pPr>
        <w:pStyle w:val="ListBullet"/>
        <w:spacing w:after="40"/>
      </w:pPr>
      <w:r>
        <w:t>GA4/GTM/Search Console/Clarity baseline setup where accounts are provided.</w:t>
      </w:r>
    </w:p>
    <w:p>
      <w:pPr>
        <w:pStyle w:val="Heading1"/>
      </w:pPr>
      <w:r>
        <w:t>2. Explicit exclusions / later iterations</w:t>
      </w:r>
    </w:p>
    <w:p>
      <w:pPr>
        <w:pStyle w:val="ListBullet"/>
        <w:spacing w:after="40"/>
      </w:pPr>
      <w:r>
        <w:t>Research CRM and proposal pipeline.</w:t>
      </w:r>
    </w:p>
    <w:p>
      <w:pPr>
        <w:pStyle w:val="ListBullet"/>
        <w:spacing w:after="40"/>
      </w:pPr>
      <w:r>
        <w:t>Research document/brief upload workflow.</w:t>
      </w:r>
    </w:p>
    <w:p>
      <w:pPr>
        <w:pStyle w:val="ListBullet"/>
        <w:spacing w:after="40"/>
      </w:pPr>
      <w:r>
        <w:t>Consultation booking and research lead automations.</w:t>
      </w:r>
    </w:p>
    <w:p>
      <w:pPr>
        <w:pStyle w:val="ListBullet"/>
        <w:spacing w:after="40"/>
      </w:pPr>
      <w:r>
        <w:t>Loyalty points, subscriptions and referral program unless separately prioritized.</w:t>
      </w:r>
    </w:p>
    <w:p>
      <w:pPr>
        <w:pStyle w:val="ListBullet"/>
        <w:spacing w:after="40"/>
      </w:pPr>
      <w:r>
        <w:t>Advanced wholesale/B2B pricing portal.</w:t>
      </w:r>
    </w:p>
    <w:p>
      <w:pPr>
        <w:pStyle w:val="ListBullet"/>
        <w:spacing w:after="40"/>
      </w:pPr>
      <w:r>
        <w:t>AI medical or diagnostic assistant.</w:t>
      </w:r>
    </w:p>
    <w:p>
      <w:pPr>
        <w:pStyle w:val="ListBullet"/>
        <w:spacing w:after="40"/>
      </w:pPr>
      <w:r>
        <w:t>Multiple payment gateways in the first release.</w:t>
      </w:r>
    </w:p>
    <w:p>
      <w:pPr>
        <w:pStyle w:val="ListBullet"/>
        <w:spacing w:after="40"/>
      </w:pPr>
      <w:r>
        <w:t>Complex ERP/accounting integrations.</w:t>
      </w:r>
    </w:p>
    <w:p>
      <w:pPr>
        <w:pStyle w:val="ListBullet"/>
        <w:spacing w:after="40"/>
      </w:pPr>
      <w:r>
        <w:t>Native mobile apps.</w:t>
      </w:r>
    </w:p>
    <w:p>
      <w:pPr>
        <w:pStyle w:val="ListBullet"/>
        <w:spacing w:after="40"/>
      </w:pPr>
      <w:r>
        <w:t>Regulatory/legal determination of product claims or therapeutic advertising approval.</w:t>
      </w:r>
    </w:p>
    <w:p>
      <w:pPr>
        <w:pStyle w:val="Heading1"/>
      </w:pPr>
      <w:r>
        <w:t>3. Responsibility matrix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00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960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Stack &amp; Scale</w:t>
            </w:r>
          </w:p>
        </w:tc>
        <w:tc>
          <w:tcPr>
            <w:tcW w:type="dxa" w:w="3960"/>
            <w:shd w:fill="173B4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/>
                <w:color w:val="FFFFFF"/>
                <w:sz w:val="17"/>
              </w:rPr>
              <w:t>CERA Medical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Application build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Configure/develop/integrate agreed platform modules.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Approve scope/flows and provide timely decisions.</w:t>
            </w:r>
          </w:p>
        </w:tc>
      </w:tr>
      <w:tr>
        <w:tc>
          <w:tcPr>
            <w:tcW w:type="dxa" w:w="180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Product data</w:t>
            </w:r>
          </w:p>
        </w:tc>
        <w:tc>
          <w:tcPr>
            <w:tcW w:type="dxa" w:w="39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Import/configure provided data.</w:t>
            </w:r>
          </w:p>
        </w:tc>
        <w:tc>
          <w:tcPr>
            <w:tcW w:type="dxa" w:w="39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Provide accurate SKUs, prices, stock rules, descriptions, images and approved claims/warnings.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Content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Implement CMS/templates and assist migration.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Own factual accuracy and final approval of product/service/blog/legal content.</w:t>
            </w:r>
          </w:p>
        </w:tc>
      </w:tr>
      <w:tr>
        <w:tc>
          <w:tcPr>
            <w:tcW w:type="dxa" w:w="180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Payments</w:t>
            </w:r>
          </w:p>
        </w:tc>
        <w:tc>
          <w:tcPr>
            <w:tcW w:type="dxa" w:w="39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Implement selected provider integration.</w:t>
            </w:r>
          </w:p>
        </w:tc>
        <w:tc>
          <w:tcPr>
            <w:tcW w:type="dxa" w:w="39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Own merchant account, onboarding, contracts, fees and live credentials.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Domain/hosting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Configure using granted access.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Own registrar, Cloudflare and Hetzner accounts/recovery.</w:t>
            </w:r>
          </w:p>
        </w:tc>
      </w:tr>
      <w:tr>
        <w:tc>
          <w:tcPr>
            <w:tcW w:type="dxa" w:w="180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39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Configure Zoho/Resend DNS/application integration.</w:t>
            </w:r>
          </w:p>
        </w:tc>
        <w:tc>
          <w:tcPr>
            <w:tcW w:type="dxa" w:w="39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Own mailboxes/sender account and approve addresses/templates.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Compliance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Implement fields/workflow and technical controls.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Obtain required scientific/regulatory/legal approvals.</w:t>
            </w:r>
          </w:p>
        </w:tc>
      </w:tr>
      <w:tr>
        <w:tc>
          <w:tcPr>
            <w:tcW w:type="dxa" w:w="180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Launch</w:t>
            </w:r>
          </w:p>
        </w:tc>
        <w:tc>
          <w:tcPr>
            <w:tcW w:type="dxa" w:w="39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Execute deployment, testing and technical handover.</w:t>
            </w:r>
          </w:p>
        </w:tc>
        <w:tc>
          <w:tcPr>
            <w:tcW w:type="dxa" w:w="3960"/>
            <w:shd w:fill="EEF5F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/>
            <w:r>
              <w:rPr>
                <w:b w:val="0"/>
                <w:sz w:val="16"/>
              </w:rPr>
              <w:t>Provide UAT sign-off and production go-live approval.</w:t>
            </w:r>
          </w:p>
        </w:tc>
      </w:tr>
    </w:tbl>
    <w:p/>
    <w:p>
      <w:pPr>
        <w:pStyle w:val="Heading1"/>
      </w:pPr>
      <w:r>
        <w:t>4. Account ownership rule</w:t>
      </w:r>
    </w:p>
    <w:p>
      <w:pPr>
        <w:pStyle w:val="ListBullet"/>
        <w:spacing w:after="40"/>
      </w:pPr>
      <w:r>
        <w:t>CERA is the owner/admin of registrar, DNS/CDN, hosting, R2, email, payment and analytics accounts.</w:t>
      </w:r>
    </w:p>
    <w:p>
      <w:pPr>
        <w:pStyle w:val="ListBullet"/>
        <w:spacing w:after="40"/>
      </w:pPr>
      <w:r>
        <w:t>Implementation team receives least-privilege access rather than becoming the permanent owner.</w:t>
      </w:r>
    </w:p>
    <w:p>
      <w:pPr>
        <w:pStyle w:val="ListBullet"/>
        <w:spacing w:after="40"/>
      </w:pPr>
      <w:r>
        <w:t>Recovery contacts and billing methods stay under CERA control.</w:t>
      </w:r>
    </w:p>
    <w:p>
      <w:pPr>
        <w:pStyle w:val="Heading1"/>
      </w:pPr>
      <w:r>
        <w:t>5. Change control</w:t>
      </w:r>
    </w:p>
    <w:p>
      <w:pPr>
        <w:pStyle w:val="ListNumber"/>
        <w:spacing w:after="40"/>
      </w:pPr>
      <w:r>
        <w:t>Record the requested change and business reason.</w:t>
      </w:r>
    </w:p>
    <w:p>
      <w:pPr>
        <w:pStyle w:val="ListNumber"/>
        <w:spacing w:after="40"/>
      </w:pPr>
      <w:r>
        <w:t>Identify whether it replaces an existing scope item or adds a new one.</w:t>
      </w:r>
    </w:p>
    <w:p>
      <w:pPr>
        <w:pStyle w:val="ListNumber"/>
        <w:spacing w:after="40"/>
      </w:pPr>
      <w:r>
        <w:t>Assess data-model, integration, security, QA and schedule impact.</w:t>
      </w:r>
    </w:p>
    <w:p>
      <w:pPr>
        <w:pStyle w:val="ListNumber"/>
        <w:spacing w:after="40"/>
      </w:pPr>
      <w:r>
        <w:t>Approve priority and target iteration before implementation.</w:t>
      </w:r>
    </w:p>
    <w:p>
      <w:pPr>
        <w:pStyle w:val="ListNumber"/>
        <w:spacing w:after="40"/>
      </w:pPr>
      <w:r>
        <w:t>Update backlog and acceptance criteria.</w:t>
      </w:r>
    </w:p>
    <w:p>
      <w:pPr>
        <w:pStyle w:val="Heading1"/>
      </w:pPr>
      <w:r>
        <w:t>6. Definition of done</w:t>
      </w:r>
    </w:p>
    <w:p>
      <w:pPr>
        <w:pStyle w:val="ListBullet"/>
        <w:spacing w:after="40"/>
      </w:pPr>
      <w:r>
        <w:t>Feature is implemented and code-reviewed.</w:t>
      </w:r>
    </w:p>
    <w:p>
      <w:pPr>
        <w:pStyle w:val="ListBullet"/>
        <w:spacing w:after="40"/>
      </w:pPr>
      <w:r>
        <w:t>Feature is deployed to staging.</w:t>
      </w:r>
    </w:p>
    <w:p>
      <w:pPr>
        <w:pStyle w:val="ListBullet"/>
        <w:spacing w:after="40"/>
      </w:pPr>
      <w:r>
        <w:t>Required automated/manual tests pass.</w:t>
      </w:r>
    </w:p>
    <w:p>
      <w:pPr>
        <w:pStyle w:val="ListBullet"/>
        <w:spacing w:after="40"/>
      </w:pPr>
      <w:r>
        <w:t>Responsive/error/permission states are handled.</w:t>
      </w:r>
    </w:p>
    <w:p>
      <w:pPr>
        <w:pStyle w:val="ListBullet"/>
        <w:spacing w:after="40"/>
      </w:pPr>
      <w:r>
        <w:t>Relevant analytics/monitoring are connected.</w:t>
      </w:r>
    </w:p>
    <w:p>
      <w:pPr>
        <w:pStyle w:val="ListBullet"/>
        <w:spacing w:after="40"/>
      </w:pPr>
      <w:r>
        <w:t>Client-facing acceptance criteria are met.</w:t>
      </w:r>
    </w:p>
    <w:sectPr w:rsidR="00FC693F" w:rsidRPr="0006063C" w:rsidSect="00034616">
      <w:footerReference w:type="default" r:id="rId9"/>
      <w:pgSz w:w="12240" w:h="15840"/>
      <w:pgMar w:top="80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color w:val="6B7280"/>
        <w:sz w:val="16"/>
      </w:rPr>
      <w:t>CERA Medical platform documentation |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B6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