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femle world leaders have been compared, with some studies claimng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bookmarkEnd w:id="22"/>
    <w:bookmarkStart w:id="23" w:name="X5da4b9f0b280414cb1ea40f20bcfaa3b08424f4"/>
    <w:p>
      <w:pPr>
        <w:pStyle w:val="Heading3"/>
      </w:pPr>
      <w:r>
        <w:t xml:space="preserve">The success in dealing with the pandemic related the proportion of older people living in a country:</w:t>
      </w:r>
    </w:p>
    <w:bookmarkEnd w:id="23"/>
    <w:bookmarkStart w:id="24" w:name="X54ffc7570e4927db0c3931906e3986465e356ac"/>
    <w:p>
      <w:pPr>
        <w:pStyle w:val="Heading3"/>
      </w:pPr>
      <w:r>
        <w:t xml:space="preserve">Democratic countries more successful at dealting with the pandemic than autoritrian ones:</w:t>
      </w:r>
    </w:p>
    <w:bookmarkEnd w:id="24"/>
    <w:bookmarkEnd w:id="25"/>
    <w:bookmarkStart w:id="26" w:name="the-results"/>
    <w:p>
      <w:pPr>
        <w:pStyle w:val="Heading2"/>
      </w:pPr>
      <w:r>
        <w:t xml:space="preserve">The Results:</w:t>
      </w:r>
    </w:p>
    <w:p>
      <w:pPr>
        <w:pStyle w:val="FirstParagraph"/>
      </w:pPr>
      <w:r>
        <w:t xml:space="preserve">To examine this</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2021-12-31T07:14:25Z</dcterms:created>
  <dcterms:modified xsi:type="dcterms:W3CDTF">2021-12-31T07:14:25Z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