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color w:val="1B96A0"/>
          <w:sz w:val="36"/>
          <w:szCs w:val="36"/>
        </w:rPr>
        <w:t xml:space="preserve">Proposal for</w:t>
      </w:r>
    </w:p>
    <w:p>
      <w:pPr>
        <w:spacing w:after="200"/>
        <w:jc w:val="center"/>
      </w:pPr>
      <w:r>
        <w:rPr>
          <w:b/>
          <w:bCs/>
          <w:color w:val="1B96A0"/>
          <w:sz w:val="52"/>
          <w:szCs w:val="52"/>
        </w:rPr>
        <w:t xml:space="preserve">[Main Subject Line]</w:t>
      </w:r>
    </w:p>
    <w:p>
      <w:pPr>
        <w:spacing w:after="60"/>
        <w:jc w:val="center"/>
      </w:pPr>
      <w:r>
        <w:rPr>
          <w:color w:val="1B96A0"/>
          <w:sz w:val="36"/>
          <w:szCs w:val="36"/>
        </w:rPr>
        <w:t xml:space="preserve">and</w:t>
      </w:r>
    </w:p>
    <w:p>
      <w:pPr>
        <w:spacing w:after="200"/>
        <w:jc w:val="center"/>
      </w:pPr>
      <w:r>
        <w:rPr>
          <w:b/>
          <w:bCs/>
          <w:color w:val="1B96A0"/>
          <w:sz w:val="52"/>
          <w:szCs w:val="52"/>
        </w:rPr>
        <w:t xml:space="preserve">[Secondary Subject Line]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Prepared for: [Client Name]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Prepared by: RenewCORP Pty Ltd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[Date]</w:t>
      </w:r>
    </w:p>
    <w:p>
      <w:pPr>
        <w:spacing w:after="120"/>
        <w:jc w:val="center"/>
      </w:pPr>
      <w:r>
        <w:rPr>
          <w:color w:val="595959"/>
          <w:sz w:val="20"/>
          <w:szCs w:val="20"/>
        </w:rPr>
        <w:t xml:space="preserve">Version [X.X]  |  [Document Reference]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This template matches the RenewCORP COTTA &amp; O&amp;M proposal styling. Replace this placeholder text with your content. The document uses A4 page size with 1-inch margins, Aptos (theme) font throughout, and a teal colour scheme (#1B96A0).</w:t>
      </w:r>
    </w:p>
    <w:p>
      <w:pPr>
        <w:pStyle w:val="Heading2"/>
      </w:pPr>
      <w:r>
        <w:t xml:space="preserve">Background</w:t>
      </w:r>
    </w:p>
    <w:p>
      <w:pPr>
        <w:spacing w:after="160"/>
      </w:pPr>
      <w:r>
        <w:t xml:space="preserve">Body text is 12pt Aptos. Heading 2 is bold black at 16pt — no colour override, which gives a clean contrast against the teal H1 and H3 styles.</w:t>
      </w:r>
    </w:p>
    <w:p>
      <w:pPr>
        <w:pStyle w:val="ListParagraph"/>
        <w:numPr>
          <w:ilvl w:val="0"/>
          <w:numId w:val="2"/>
        </w:numPr>
      </w:pPr>
      <w:r>
        <w:t xml:space="preserve">First bullet point — level 0</w:t>
      </w:r>
    </w:p>
    <w:p>
      <w:pPr>
        <w:pStyle w:val="ListParagraph"/>
        <w:numPr>
          <w:ilvl w:val="1"/>
          <w:numId w:val="2"/>
        </w:numPr>
      </w:pPr>
      <w:r>
        <w:t xml:space="preserve">Sub-bullet — level 1</w:t>
      </w:r>
    </w:p>
    <w:p>
      <w:pPr>
        <w:pStyle w:val="ListParagraph"/>
        <w:numPr>
          <w:ilvl w:val="0"/>
          <w:numId w:val="2"/>
        </w:numPr>
      </w:pPr>
      <w:r>
        <w:t xml:space="preserve">Second bullet point</w:t>
      </w:r>
    </w:p>
    <w:p>
      <w:pPr>
        <w:pStyle w:val="Heading3"/>
      </w:pPr>
      <w:r>
        <w:t xml:space="preserve">Detailed Findings</w:t>
      </w:r>
    </w:p>
    <w:p>
      <w:pPr>
        <w:spacing w:after="160"/>
      </w:pPr>
      <w:r>
        <w:t xml:space="preserve">Heading 3 is bold teal (#1B96A0) at 14pt. Based on Heading 2 style with the teal colour added back.</w:t>
      </w:r>
    </w:p>
    <w:p>
      <w:pPr>
        <w:pStyle w:val="Heading4"/>
      </w:pPr>
      <w:r>
        <w:t xml:space="preserve">Sub-finding</w:t>
      </w:r>
    </w:p>
    <w:p>
      <w:pPr>
        <w:spacing w:after="160"/>
      </w:pPr>
      <w:r>
        <w:t xml:space="preserve">Heading 4 is bold at 12pt (same size as body) — useful for fourth-level structure without overwhelming the page.</w:t>
      </w:r>
    </w:p>
    <w:p>
      <w:pPr>
        <w:spacing w:before="200" w:after="120"/>
      </w:pPr>
      <w:r>
        <w:rPr>
          <w:b/>
          <w:bCs/>
        </w:rPr>
        <w:t xml:space="preserve">Summary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1B9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009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1B9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3008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1B9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9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Scope of Work</w:t>
            </w:r>
          </w:p>
        </w:tc>
        <w:tc>
          <w:tcPr>
            <w:tcW w:type="dxa" w:w="3009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[Description]</w:t>
            </w:r>
          </w:p>
        </w:tc>
        <w:tc>
          <w:tcPr>
            <w:tcW w:type="dxa" w:w="3008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3009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Timeline</w:t>
            </w:r>
          </w:p>
        </w:tc>
        <w:tc>
          <w:tcPr>
            <w:tcW w:type="dxa" w:w="3009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[Dates]</w:t>
            </w:r>
          </w:p>
        </w:tc>
        <w:tc>
          <w:tcPr>
            <w:tcW w:type="dxa" w:w="3008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3009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Budget</w:t>
            </w:r>
          </w:p>
        </w:tc>
        <w:tc>
          <w:tcPr>
            <w:tcW w:type="dxa" w:w="3009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[Amount]</w:t>
            </w:r>
          </w:p>
        </w:tc>
        <w:tc>
          <w:tcPr>
            <w:tcW w:type="dxa" w:w="3008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TBC</w:t>
            </w:r>
          </w:p>
        </w:tc>
      </w:tr>
    </w:tbl>
    <w:p>
      <w:pPr>
        <w:pStyle w:val="Heading2"/>
        <w:spacing w:before="200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First numbered item</w:t>
      </w:r>
    </w:p>
    <w:p>
      <w:pPr>
        <w:pStyle w:val="ListParagraph"/>
        <w:numPr>
          <w:ilvl w:val="0"/>
          <w:numId w:val="3"/>
        </w:numPr>
      </w:pPr>
      <w:r>
        <w:t xml:space="preserve">Second numbered item</w:t>
      </w:r>
    </w:p>
    <w:p>
      <w:pPr>
        <w:pStyle w:val="ListParagraph"/>
        <w:numPr>
          <w:ilvl w:val="1"/>
          <w:numId w:val="3"/>
        </w:numPr>
      </w:pPr>
      <w:r>
        <w:t xml:space="preserve">Sub-item with lower letter</w:t>
      </w:r>
    </w:p>
    <w:p>
      <w:r>
        <w:br w:type="page"/>
      </w:r>
    </w:p>
    <w:p>
      <w:pPr>
        <w:pStyle w:val="Heading1"/>
      </w:pPr>
      <w:r>
        <w:t xml:space="preserve">Authorisation</w:t>
      </w:r>
    </w:p>
    <w:p>
      <w:pPr>
        <w:spacing w:after="160"/>
      </w:pPr>
      <w:r>
        <w:t xml:space="preserve">This document has been prepared by:</w:t>
      </w:r>
    </w:p>
    <w:p>
      <w:pPr>
        <w:spacing w:after="160"/>
      </w:pPr>
      <w:r>
        <w:rPr>
          <w:b/>
          <w:bCs/>
        </w:rPr>
        <w:t xml:space="preserve">[Author Name]</w:t>
      </w:r>
    </w:p>
    <w:p>
      <w:pPr>
        <w:spacing w:after="160"/>
      </w:pPr>
      <w:r>
        <w:t xml:space="preserve">[Title / Role]</w:t>
      </w:r>
    </w:p>
    <w:p>
      <w:pPr>
        <w:spacing w:after="160"/>
      </w:pPr>
      <w:r>
        <w:t xml:space="preserve">RenewCORP Pty Ltd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98A2" w:sz="12" w:space="4"/>
      </w:pBdr>
      <w:spacing w:before="0"/>
    </w:pPr>
    <w:r>
      <w:rPr>
        <w:color w:val="595959"/>
        <w:sz w:val="16"/>
        <w:szCs w:val="16"/>
      </w:rPr>
      <w:t xml:space="preserve">Commercial in Confidence  |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160" w:line="27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ptos" w:cs="Aptos" w:eastAsia="Aptos" w:hAnsi="Aptos"/>
      <w:b/>
      <w:bCs/>
      <w:color w:val="1B9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ptos" w:cs="Aptos" w:eastAsia="Aptos" w:hAnsi="Aptos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ptos" w:cs="Aptos" w:eastAsia="Aptos" w:hAnsi="Aptos"/>
      <w:b/>
      <w:bCs/>
      <w:color w:val="1B96A0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ptos" w:cs="Aptos" w:eastAsia="Aptos" w:hAnsi="Aptos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2026-02-19T10:52:54.954Z</dcterms:created>
  <dcterms:modified xsi:type="dcterms:W3CDTF">2026-02-19T10:52:54.955Z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