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ptos" w:cs="Aptos" w:eastAsia="Aptos" w:hAnsi="Aptos"/>
          <w:b/>
          <w:bCs/>
          <w:color w:val="1B96A0"/>
          <w:sz w:val="36"/>
          <w:szCs w:val="36"/>
        </w:rPr>
        <w:t xml:space="preserve">Executive Summary</w:t>
      </w:r>
    </w:p>
    <w:p>
      <w:pPr>
        <w:spacing w:after="160"/>
      </w:pPr>
      <w:r>
        <w:rPr>
          <w:rFonts w:ascii="Aptos" w:cs="Aptos" w:eastAsia="Aptos" w:hAnsi="Aptos"/>
          <w:sz w:val="24"/>
          <w:szCs w:val="24"/>
        </w:rPr>
        <w:t xml:space="preserve">This is a </w:t>
      </w:r>
      <w:r>
        <w:rPr>
          <w:rFonts w:ascii="Aptos" w:cs="Aptos" w:eastAsia="Aptos" w:hAnsi="Aptos"/>
          <w:b/>
          <w:bCs/>
          <w:sz w:val="24"/>
          <w:szCs w:val="24"/>
        </w:rPr>
        <w:t xml:space="preserve">sample document</w:t>
      </w:r>
      <w:r>
        <w:rPr>
          <w:rFonts w:ascii="Aptos" w:cs="Aptos" w:eastAsia="Aptos" w:hAnsi="Aptos"/>
          <w:sz w:val="24"/>
          <w:szCs w:val="24"/>
        </w:rPr>
        <w:t xml:space="preserve"> to test the markdown-to-docx converter. It demonstrates all the supported formatting elements.</w:t>
      </w:r>
    </w:p>
    <w:p>
      <w:pPr>
        <w:pStyle w:val="Heading2"/>
      </w:pPr>
      <w:r>
        <w:rPr>
          <w:rFonts w:ascii="Aptos" w:cs="Aptos" w:eastAsia="Aptos" w:hAnsi="Aptos"/>
          <w:b/>
          <w:bCs/>
          <w:sz w:val="32"/>
          <w:szCs w:val="32"/>
        </w:rPr>
        <w:t xml:space="preserve">Background</w:t>
      </w:r>
    </w:p>
    <w:p>
      <w:pPr>
        <w:spacing w:after="160"/>
      </w:pPr>
      <w:r>
        <w:rPr>
          <w:rFonts w:ascii="Aptos" w:cs="Aptos" w:eastAsia="Aptos" w:hAnsi="Aptos"/>
          <w:sz w:val="24"/>
          <w:szCs w:val="24"/>
        </w:rPr>
        <w:t xml:space="preserve">The converter supports </w:t>
      </w:r>
      <w:r>
        <w:rPr>
          <w:rFonts w:ascii="Aptos" w:cs="Aptos" w:eastAsia="Aptos" w:hAnsi="Aptos"/>
          <w:i/>
          <w:iCs/>
          <w:sz w:val="24"/>
          <w:szCs w:val="24"/>
        </w:rPr>
        <w:t xml:space="preserve">italic text</w:t>
      </w:r>
      <w:r>
        <w:rPr>
          <w:rFonts w:ascii="Aptos" w:cs="Aptos" w:eastAsia="Aptos" w:hAnsi="Aptos"/>
          <w:sz w:val="24"/>
          <w:szCs w:val="24"/>
        </w:rPr>
        <w:t xml:space="preserve">, </w:t>
      </w:r>
      <w:r>
        <w:rPr>
          <w:rFonts w:ascii="Aptos" w:cs="Aptos" w:eastAsia="Aptos" w:hAnsi="Aptos"/>
          <w:b/>
          <w:bCs/>
          <w:sz w:val="24"/>
          <w:szCs w:val="24"/>
        </w:rPr>
        <w:t xml:space="preserve">bold text</w:t>
      </w:r>
      <w:r>
        <w:rPr>
          <w:rFonts w:ascii="Aptos" w:cs="Aptos" w:eastAsia="Aptos" w:hAnsi="Aptos"/>
          <w:sz w:val="24"/>
          <w:szCs w:val="24"/>
        </w:rPr>
        <w:t xml:space="preserve">, and </w:t>
      </w:r>
      <w:r>
        <w:rPr>
          <w:rFonts w:ascii="Aptos" w:cs="Aptos" w:eastAsia="Aptos" w:hAnsi="Aptos"/>
          <w:b/>
          <w:bCs/>
          <w:i/>
          <w:iCs/>
          <w:sz w:val="24"/>
          <w:szCs w:val="24"/>
        </w:rPr>
        <w:t xml:space="preserve">bold italic text</w:t>
      </w:r>
      <w:r>
        <w:rPr>
          <w:rFonts w:ascii="Aptos" w:cs="Aptos" w:eastAsia="Aptos" w:hAnsi="Aptos"/>
          <w:sz w:val="24"/>
          <w:szCs w:val="24"/>
        </w:rPr>
        <w:t xml:space="preserve">. It also handles </w:t>
      </w:r>
      <w:r>
        <w:rPr>
          <w:rFonts w:ascii="Consolas" w:cs="Consolas" w:eastAsia="Consolas" w:hAnsi="Consolas"/>
          <w:sz w:val="22"/>
          <w:szCs w:val="22"/>
          <w:shd w:fill="F4F4F4" w:val="clear"/>
        </w:rPr>
        <w:t xml:space="preserve">inline code</w:t>
      </w:r>
      <w:r>
        <w:rPr>
          <w:rFonts w:ascii="Aptos" w:cs="Aptos" w:eastAsia="Aptos" w:hAnsi="Aptos"/>
          <w:sz w:val="24"/>
          <w:szCs w:val="24"/>
        </w:rPr>
        <w:t xml:space="preserve"> formatting and </w:t>
      </w:r>
      <w:r>
        <w:rPr>
          <w:rFonts w:ascii="Aptos" w:cs="Aptos" w:eastAsia="Aptos" w:hAnsi="Aptos"/>
          <w:color w:val="467886"/>
          <w:sz w:val="24"/>
          <w:szCs w:val="24"/>
          <w:u w:val="single"/>
        </w:rPr>
        <w:t xml:space="preserve">hyperlinks</w:t>
      </w:r>
      <w:r>
        <w:rPr>
          <w:rFonts w:ascii="Aptos" w:cs="Aptos" w:eastAsia="Aptos" w:hAnsi="Aptos"/>
          <w:sz w:val="24"/>
          <w:szCs w:val="24"/>
        </w:rPr>
        <w:t xml:space="preserve">.</w:t>
      </w:r>
    </w:p>
    <w:p>
      <w:pPr>
        <w:pStyle w:val="Heading3"/>
      </w:pPr>
      <w:r>
        <w:rPr>
          <w:rFonts w:ascii="Aptos" w:cs="Aptos" w:eastAsia="Aptos" w:hAnsi="Aptos"/>
          <w:b/>
          <w:bCs/>
          <w:color w:val="1B96A0"/>
          <w:sz w:val="28"/>
          <w:szCs w:val="28"/>
        </w:rPr>
        <w:t xml:space="preserve">Key Findings</w:t>
      </w:r>
    </w:p>
    <w:p>
      <w:pPr>
        <w:spacing w:after="160"/>
      </w:pPr>
      <w:r>
        <w:rPr>
          <w:rFonts w:ascii="Aptos" w:cs="Aptos" w:eastAsia="Aptos" w:hAnsi="Aptos"/>
          <w:sz w:val="24"/>
          <w:szCs w:val="24"/>
        </w:rPr>
        <w:t xml:space="preserve">Here are the main findings from our assessment: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ptos" w:cs="Aptos" w:eastAsia="Aptos" w:hAnsi="Aptos"/>
          <w:sz w:val="24"/>
          <w:szCs w:val="24"/>
        </w:rPr>
        <w:t xml:space="preserve">First bullet point with some detail about the finding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ptos" w:cs="Aptos" w:eastAsia="Aptos" w:hAnsi="Aptos"/>
          <w:sz w:val="24"/>
          <w:szCs w:val="24"/>
        </w:rPr>
        <w:t xml:space="preserve">Second bullet point covering another area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ptos" w:cs="Aptos" w:eastAsia="Aptos" w:hAnsi="Aptos"/>
          <w:sz w:val="24"/>
          <w:szCs w:val="24"/>
        </w:rPr>
        <w:t xml:space="preserve">Sub-bullet with additional context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ptos" w:cs="Aptos" w:eastAsia="Aptos" w:hAnsi="Aptos"/>
          <w:sz w:val="24"/>
          <w:szCs w:val="24"/>
        </w:rPr>
        <w:t xml:space="preserve">Another sub-bullet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ptos" w:cs="Aptos" w:eastAsia="Aptos" w:hAnsi="Aptos"/>
          <w:sz w:val="24"/>
          <w:szCs w:val="24"/>
        </w:rPr>
        <w:t xml:space="preserve">Third bullet point wrapping up the section</w:t>
      </w:r>
    </w:p>
    <w:p>
      <w:pPr>
        <w:pStyle w:val="Heading3"/>
      </w:pPr>
      <w:r>
        <w:rPr>
          <w:rFonts w:ascii="Aptos" w:cs="Aptos" w:eastAsia="Aptos" w:hAnsi="Aptos"/>
          <w:b/>
          <w:bCs/>
          <w:color w:val="1B96A0"/>
          <w:sz w:val="28"/>
          <w:szCs w:val="28"/>
        </w:rPr>
        <w:t xml:space="preserve">Data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2198A2" w:sz="4"/>
              <w:left w:val="single" w:color="2198A2" w:sz="4"/>
              <w:bottom w:val="single" w:color="2198A2" w:sz="4"/>
              <w:right w:val="single" w:color="2198A2" w:sz="4"/>
            </w:tcBorders>
            <w:shd w:fill="1B9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Site</w:t>
            </w:r>
          </w:p>
        </w:tc>
        <w:tc>
          <w:tcPr>
            <w:tcW w:type="dxa" w:w="2256"/>
            <w:tcBorders>
              <w:top w:val="single" w:color="2198A2" w:sz="4"/>
              <w:left w:val="single" w:color="2198A2" w:sz="4"/>
              <w:bottom w:val="single" w:color="2198A2" w:sz="4"/>
              <w:right w:val="single" w:color="2198A2" w:sz="4"/>
            </w:tcBorders>
            <w:shd w:fill="1B9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System Size</w:t>
            </w:r>
          </w:p>
        </w:tc>
        <w:tc>
          <w:tcPr>
            <w:tcW w:type="dxa" w:w="2256"/>
            <w:tcBorders>
              <w:top w:val="single" w:color="2198A2" w:sz="4"/>
              <w:left w:val="single" w:color="2198A2" w:sz="4"/>
              <w:bottom w:val="single" w:color="2198A2" w:sz="4"/>
              <w:right w:val="single" w:color="2198A2" w:sz="4"/>
            </w:tcBorders>
            <w:shd w:fill="1B9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Annual Savings</w:t>
            </w:r>
          </w:p>
        </w:tc>
        <w:tc>
          <w:tcPr>
            <w:tcW w:type="dxa" w:w="2258"/>
            <w:tcBorders>
              <w:top w:val="single" w:color="2198A2" w:sz="4"/>
              <w:left w:val="single" w:color="2198A2" w:sz="4"/>
              <w:bottom w:val="single" w:color="2198A2" w:sz="4"/>
              <w:right w:val="single" w:color="2198A2" w:sz="4"/>
            </w:tcBorders>
            <w:shd w:fill="1B9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Payback</w:t>
            </w:r>
          </w:p>
        </w:tc>
      </w:tr>
      <w:tr>
        <w:tc>
          <w:tcPr>
            <w:tcW w:type="dxa" w:w="2256"/>
            <w:tcBorders>
              <w:top w:val="single" w:color="2198A2" w:sz="4"/>
              <w:left w:val="single" w:color="2198A2" w:sz="4"/>
              <w:bottom w:val="single" w:color="2198A2" w:sz="4"/>
              <w:right w:val="single" w:color="2198A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Morwell</w:t>
            </w:r>
          </w:p>
        </w:tc>
        <w:tc>
          <w:tcPr>
            <w:tcW w:type="dxa" w:w="2256"/>
            <w:tcBorders>
              <w:top w:val="single" w:color="2198A2" w:sz="4"/>
              <w:left w:val="single" w:color="2198A2" w:sz="4"/>
              <w:bottom w:val="single" w:color="2198A2" w:sz="4"/>
              <w:right w:val="single" w:color="2198A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99.9 kW</w:t>
            </w:r>
          </w:p>
        </w:tc>
        <w:tc>
          <w:tcPr>
            <w:tcW w:type="dxa" w:w="2256"/>
            <w:tcBorders>
              <w:top w:val="single" w:color="2198A2" w:sz="4"/>
              <w:left w:val="single" w:color="2198A2" w:sz="4"/>
              <w:bottom w:val="single" w:color="2198A2" w:sz="4"/>
              <w:right w:val="single" w:color="2198A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$28,400</w:t>
            </w:r>
          </w:p>
        </w:tc>
        <w:tc>
          <w:tcPr>
            <w:tcW w:type="dxa" w:w="2258"/>
            <w:tcBorders>
              <w:top w:val="single" w:color="2198A2" w:sz="4"/>
              <w:left w:val="single" w:color="2198A2" w:sz="4"/>
              <w:bottom w:val="single" w:color="2198A2" w:sz="4"/>
              <w:right w:val="single" w:color="2198A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4.2 yrs</w:t>
            </w:r>
          </w:p>
        </w:tc>
      </w:tr>
      <w:tr>
        <w:tc>
          <w:tcPr>
            <w:tcW w:type="dxa" w:w="2256"/>
            <w:tcBorders>
              <w:top w:val="single" w:color="2198A2" w:sz="4"/>
              <w:left w:val="single" w:color="2198A2" w:sz="4"/>
              <w:bottom w:val="single" w:color="2198A2" w:sz="4"/>
              <w:right w:val="single" w:color="2198A2" w:sz="4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Osborne</w:t>
            </w:r>
          </w:p>
        </w:tc>
        <w:tc>
          <w:tcPr>
            <w:tcW w:type="dxa" w:w="2256"/>
            <w:tcBorders>
              <w:top w:val="single" w:color="2198A2" w:sz="4"/>
              <w:left w:val="single" w:color="2198A2" w:sz="4"/>
              <w:bottom w:val="single" w:color="2198A2" w:sz="4"/>
              <w:right w:val="single" w:color="2198A2" w:sz="4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150 kW</w:t>
            </w:r>
          </w:p>
        </w:tc>
        <w:tc>
          <w:tcPr>
            <w:tcW w:type="dxa" w:w="2256"/>
            <w:tcBorders>
              <w:top w:val="single" w:color="2198A2" w:sz="4"/>
              <w:left w:val="single" w:color="2198A2" w:sz="4"/>
              <w:bottom w:val="single" w:color="2198A2" w:sz="4"/>
              <w:right w:val="single" w:color="2198A2" w:sz="4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$42,100</w:t>
            </w:r>
          </w:p>
        </w:tc>
        <w:tc>
          <w:tcPr>
            <w:tcW w:type="dxa" w:w="2258"/>
            <w:tcBorders>
              <w:top w:val="single" w:color="2198A2" w:sz="4"/>
              <w:left w:val="single" w:color="2198A2" w:sz="4"/>
              <w:bottom w:val="single" w:color="2198A2" w:sz="4"/>
              <w:right w:val="single" w:color="2198A2" w:sz="4"/>
            </w:tcBorders>
            <w:shd w:fill="E8F7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3.8 yrs</w:t>
            </w:r>
          </w:p>
        </w:tc>
      </w:tr>
      <w:tr>
        <w:tc>
          <w:tcPr>
            <w:tcW w:type="dxa" w:w="2256"/>
            <w:tcBorders>
              <w:top w:val="single" w:color="2198A2" w:sz="4"/>
              <w:left w:val="single" w:color="2198A2" w:sz="4"/>
              <w:bottom w:val="single" w:color="2198A2" w:sz="4"/>
              <w:right w:val="single" w:color="2198A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Yarraville</w:t>
            </w:r>
          </w:p>
        </w:tc>
        <w:tc>
          <w:tcPr>
            <w:tcW w:type="dxa" w:w="2256"/>
            <w:tcBorders>
              <w:top w:val="single" w:color="2198A2" w:sz="4"/>
              <w:left w:val="single" w:color="2198A2" w:sz="4"/>
              <w:bottom w:val="single" w:color="2198A2" w:sz="4"/>
              <w:right w:val="single" w:color="2198A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75 kW</w:t>
            </w:r>
          </w:p>
        </w:tc>
        <w:tc>
          <w:tcPr>
            <w:tcW w:type="dxa" w:w="2256"/>
            <w:tcBorders>
              <w:top w:val="single" w:color="2198A2" w:sz="4"/>
              <w:left w:val="single" w:color="2198A2" w:sz="4"/>
              <w:bottom w:val="single" w:color="2198A2" w:sz="4"/>
              <w:right w:val="single" w:color="2198A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$19,800</w:t>
            </w:r>
          </w:p>
        </w:tc>
        <w:tc>
          <w:tcPr>
            <w:tcW w:type="dxa" w:w="2258"/>
            <w:tcBorders>
              <w:top w:val="single" w:color="2198A2" w:sz="4"/>
              <w:left w:val="single" w:color="2198A2" w:sz="4"/>
              <w:bottom w:val="single" w:color="2198A2" w:sz="4"/>
              <w:right w:val="single" w:color="2198A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5.1 yrs</w:t>
            </w:r>
          </w:p>
        </w:tc>
      </w:tr>
    </w:tbl>
    <w:p>
      <w:pPr>
        <w:pStyle w:val="Heading2"/>
      </w:pPr>
      <w:r>
        <w:rPr>
          <w:rFonts w:ascii="Aptos" w:cs="Aptos" w:eastAsia="Aptos" w:hAnsi="Aptos"/>
          <w:b/>
          <w:bCs/>
          <w:sz w:val="32"/>
          <w:szCs w:val="32"/>
        </w:rPr>
        <w:t xml:space="preserve">Methodology</w:t>
      </w:r>
    </w:p>
    <w:p>
      <w:pPr>
        <w:spacing w:after="160"/>
      </w:pPr>
      <w:r>
        <w:rPr>
          <w:rFonts w:ascii="Aptos" w:cs="Aptos" w:eastAsia="Aptos" w:hAnsi="Aptos"/>
          <w:sz w:val="24"/>
          <w:szCs w:val="24"/>
        </w:rPr>
        <w:t xml:space="preserve">Our approach followed a structured process: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ptos" w:cs="Aptos" w:eastAsia="Aptos" w:hAnsi="Aptos"/>
          <w:sz w:val="24"/>
          <w:szCs w:val="24"/>
        </w:rPr>
        <w:t xml:space="preserve">Initial site assessment and data collection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ptos" w:cs="Aptos" w:eastAsia="Aptos" w:hAnsi="Aptos"/>
          <w:sz w:val="24"/>
          <w:szCs w:val="24"/>
        </w:rPr>
        <w:t xml:space="preserve">Energy consumption analysis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ptos" w:cs="Aptos" w:eastAsia="Aptos" w:hAnsi="Aptos"/>
          <w:sz w:val="24"/>
          <w:szCs w:val="24"/>
        </w:rPr>
        <w:t xml:space="preserve">System design and modelling
a. Solar yield estimation
b. Financial modelling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ptos" w:cs="Aptos" w:eastAsia="Aptos" w:hAnsi="Aptos"/>
          <w:sz w:val="24"/>
          <w:szCs w:val="24"/>
        </w:rPr>
        <w:t xml:space="preserve">Report preparation and peer review</w:t>
      </w:r>
    </w:p>
    <w:p>
      <w:pPr>
        <w:pBdr>
          <w:left w:val="single" w:color="1B96A0" w:sz="12" w:space="8"/>
        </w:pBdr>
        <w:shd w:fill="F0F9FA" w:val="clear"/>
        <w:spacing w:after="160"/>
        <w:ind w:left="400"/>
      </w:pPr>
    </w:p>
    <w:p>
      <w:pPr>
        <w:pStyle w:val="Heading2"/>
      </w:pPr>
      <w:r>
        <w:rPr>
          <w:rFonts w:ascii="Aptos" w:cs="Aptos" w:eastAsia="Aptos" w:hAnsi="Aptos"/>
          <w:b/>
          <w:bCs/>
          <w:sz w:val="32"/>
          <w:szCs w:val="32"/>
        </w:rPr>
        <w:t xml:space="preserve">Technical Details</w:t>
      </w:r>
    </w:p>
    <w:p>
      <w:pPr>
        <w:spacing w:after="160"/>
      </w:pPr>
      <w:r>
        <w:rPr>
          <w:rFonts w:ascii="Aptos" w:cs="Aptos" w:eastAsia="Aptos" w:hAnsi="Aptos"/>
          <w:sz w:val="24"/>
          <w:szCs w:val="24"/>
        </w:rPr>
        <w:t xml:space="preserve">The system configuration uses the following parameters: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Panel: LONGi Hi-MO 6 Explorer (580W)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Inverter: Huawei SUN2000-100KTL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Mounting: Clenergy PV-ezRack SolarRoof</w:t>
      </w:r>
    </w:p>
    <w:p>
      <w:pPr>
        <w:spacing w:after="160"/>
      </w:pPr>
    </w:p>
    <w:p>
      <w:pPr>
        <w:pBdr>
          <w:bottom w:val="single" w:color="2198A2" w:sz="6" w:space="1"/>
        </w:pBdr>
        <w:spacing w:before="200" w:after="200"/>
      </w:pPr>
    </w:p>
    <w:p>
      <w:pPr>
        <w:pStyle w:val="Heading2"/>
      </w:pPr>
      <w:r>
        <w:rPr>
          <w:rFonts w:ascii="Aptos" w:cs="Aptos" w:eastAsia="Aptos" w:hAnsi="Aptos"/>
          <w:b/>
          <w:bCs/>
          <w:sz w:val="32"/>
          <w:szCs w:val="32"/>
        </w:rPr>
        <w:t xml:space="preserve">Next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ptos" w:cs="Aptos" w:eastAsia="Aptos" w:hAnsi="Aptos"/>
          <w:sz w:val="24"/>
          <w:szCs w:val="24"/>
        </w:rPr>
        <w:t xml:space="preserve">Client review and feedback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ptos" w:cs="Aptos" w:eastAsia="Aptos" w:hAnsi="Aptos"/>
          <w:sz w:val="24"/>
          <w:szCs w:val="24"/>
        </w:rPr>
        <w:t xml:space="preserve">Detailed design phase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ptos" w:cs="Aptos" w:eastAsia="Aptos" w:hAnsi="Aptos"/>
          <w:sz w:val="24"/>
          <w:szCs w:val="24"/>
        </w:rPr>
        <w:t xml:space="preserve">Procurement and installation scheduling</w:t>
      </w:r>
    </w:p>
    <w:p>
      <w:pPr>
        <w:pStyle w:val="Heading4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Contact</w:t>
      </w:r>
    </w:p>
    <w:p>
      <w:pPr>
        <w:spacing w:after="160"/>
      </w:pPr>
      <w:r>
        <w:rPr>
          <w:rFonts w:ascii="Aptos" w:cs="Aptos" w:eastAsia="Aptos" w:hAnsi="Aptos"/>
          <w:sz w:val="24"/>
          <w:szCs w:val="24"/>
        </w:rPr>
        <w:t xml:space="preserve">For questions regarding this report, please contact the project team.</w:t>
      </w:r>
    </w:p>
    <w:sectPr>
      <w:headerReference w:type="default" r:id="rId6"/>
      <w:headerReference w:type="firs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198A2" w:sz="12" w:space="4"/>
      </w:pBdr>
    </w:pPr>
    <w:r>
      <w:rPr>
        <w:rFonts w:ascii="Aptos" w:cs="Aptos" w:eastAsia="Aptos" w:hAnsi="Aptos"/>
        <w:color w:val="595959"/>
        <w:sz w:val="16"/>
        <w:szCs w:val="16"/>
      </w:rPr>
      <w:t xml:space="preserve">Commercial in Confidence  |  </w:t>
    </w:r>
    <w:r>
      <w:rPr>
        <w:rFonts w:ascii="Aptos" w:cs="Aptos" w:eastAsia="Aptos" w:hAnsi="Aptos"/>
        <w:color w:val="595959"/>
        <w:sz w:val="16"/>
        <w:szCs w:val="16"/>
      </w:rPr>
      <w:t xml:space="preserve">Page </w:t>
    </w:r>
    <w:r>
      <w:rPr>
        <w:rFonts w:ascii="Aptos" w:cs="Aptos" w:eastAsia="Aptos" w:hAnsi="Aptos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ptos" w:cs="Aptos" w:eastAsia="Aptos" w:hAnsi="Aptos"/>
      <w:b/>
      <w:bCs/>
      <w:color w:val="1B96A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ptos" w:cs="Aptos" w:eastAsia="Aptos" w:hAnsi="Aptos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ptos" w:cs="Aptos" w:eastAsia="Aptos" w:hAnsi="Aptos"/>
      <w:b/>
      <w:bCs/>
      <w:color w:val="1B96A0"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160" w:after="80"/>
      <w:outlineLvl w:val="3"/>
    </w:pPr>
    <w:rPr>
      <w:rFonts w:ascii="Aptos" w:cs="Aptos" w:eastAsia="Aptos" w:hAnsi="Aptos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2026-02-19T11:02:27.981Z</dcterms:created>
  <dcterms:modified xsi:type="dcterms:W3CDTF">2026-02-19T11:02:27.982Z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