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Review Report</w:t>
      </w:r>
    </w:p>
    <w:p>
      <w:r>
        <w:t>Manuscript: Resource limitation rewires chromosome instability and ploidy evolution across in vitro and in vivo cancer models</w:t>
      </w:r>
    </w:p>
    <w:p>
      <w:r>
        <w:t>Review type: Internal pre-submission scientific review based on the GitHub manuscript draft, top10.zip result archive, and joint_pre.zip joint-fitting preprocessing archive.</w:t>
      </w:r>
    </w:p>
    <w:p>
      <w:r>
        <w:t>Overall recommendation: Major revision before external submission.</w:t>
      </w:r>
    </w:p>
    <w:p>
      <w:pPr>
        <w:pStyle w:val="Heading1"/>
      </w:pPr>
      <w:r>
        <w:t>Overall assessment</w:t>
      </w:r>
    </w:p>
    <w:p>
      <w:r>
        <w:t>The manuscript addresses an important problem: how resource stress can simultaneously impose costs on high-ploidy states and generate chromosome-number variation through CIN/WGD mechanisms. The model structure is biologically coherent, the matched in vitro/in vivo SUM159 design is compelling, and the new joint_pre.zip preprocessing evidence substantially strengthens the rationale for the joint warm-start strategy. The strongest supported conclusion is that the in vivo context is not simply a lower-oxygen version of culture; in the current fits it is resolved as lower effective proliferative capacity, stronger stress-linked missegregation, and altered post-missegregation survival filtering.</w:t>
      </w:r>
    </w:p>
    <w:p>
      <w:r>
        <w:t>However, several central claims need to be tightened. The most important issue is that the delivered necrosis result tables contain observed necrosis values but no finite predicted necrosis fractions across all retained top in vivo and joint results. Therefore, necrosis cannot currently be used as independent fitted evidence. Second, the dense fixed-O2 analysis shows multiple plausible response classes among the 500 in vivo seeds and among the top objective-ranked seeds, so the manuscript should avoid implying a single selected oxygen-ploidy law. Third, several joint parameters appear near bounds or have saturated soft-coupling penalties, which makes the qualitative context axes more reliable than exact point estimates. These issues are fixable, but they should be resolved or explicitly framed before submission.</w:t>
      </w:r>
    </w:p>
    <w:p>
      <w:pPr>
        <w:pStyle w:val="Heading1"/>
      </w:pPr>
      <w:r>
        <w:t>Major comments</w:t>
      </w:r>
    </w:p>
    <w:p>
      <w:r>
        <w:rPr>
          <w:b/>
        </w:rPr>
        <w:t>1. Necrosis is currently not auditable as an independent observation stream.</w:t>
      </w:r>
    </w:p>
    <w:p>
      <w:r>
        <w:t>The Methods describe terminal necrosis as an observation model, and the objective summaries contain necrosis components. Nevertheless, the retained output files show observed necrosis rows with zero finite predicted necrosis fractions: all 60 retained separate in vivo rows and all 360 retained joint rows have NaN predictions. This is a major inconsistency because it affects whether necrosis truly constrains the fitted live/dead decomposition. The manuscript should either repair the export/implementation and show finite predicted necrosis values, or state that necrosis was specified but not successfully audited in the current output package.</w:t>
      </w:r>
    </w:p>
    <w:p>
      <w:r>
        <w:rPr>
          <w:b/>
        </w:rPr>
        <w:t>2. The in vivo fixed-O2 response should be presented as retained model uncertainty, not a single selected mechanism.</w:t>
      </w:r>
    </w:p>
    <w:p>
      <w:r>
        <w:t>The dense fixed-O2 preprocessing classifies 500 in vivo fits into multiple response classes: 52.2% complex nonmonotone, 29.8% inverted-U, 11.4% monotone-increasing, 5.0% u-shaped, 1.0% plateau-type, and 0.6% monotone-decreasing. Among the top 25 objective-ranked seeds, the response classes are still mixed. This means that the current data and model do not identify one oxygen-ploidy rule. The manuscript should explicitly state that the fixed-O2 analysis maps plausible regimes and constrains uncertainty rather than selecting a unique monotonic response.</w:t>
      </w:r>
    </w:p>
    <w:p>
      <w:r>
        <w:rPr>
          <w:b/>
        </w:rPr>
        <w:t>3. Joint-fit context differences are promising but should be interpreted as model-resolved hypotheses.</w:t>
      </w:r>
    </w:p>
    <w:p>
      <w:r>
        <w:t>The best joint seed supports lower in vivo lambda_max and higher in vivo stress-linked missegregation and death scale; this is an important result. However, several parameters are at or near bounds, and many Welsch soft-coupling penalties are saturated. Exact natural-scale ratios should therefore be reported as fitted summaries, not direct biological measurements. The Results and Discussion should emphasize robust qualitative axes across warm-start pairs and include a bounds/projection audit.</w:t>
      </w:r>
    </w:p>
    <w:p>
      <w:r>
        <w:rPr>
          <w:b/>
        </w:rPr>
        <w:t>4. The in vitro 2N deprived trajectory should be softened to avoid overclaiming replicate-level agreement.</w:t>
      </w:r>
    </w:p>
    <w:p>
      <w:r>
        <w:t>The best in vitro fit supports oxygen-dependent distributional broadening and high-ploidy enrichment in the 2N deprived branch. However, one late 2N deprived observed replicate has mean chromosome number 88.05 while the model predicts 64.27 for the shared segment. This does not invalidate the remodeling conclusion, but it means the text should not claim full recapitulation of every late high-ploidy observation. The manuscript should describe the fit as capturing broad remodeling and should show replicate-level residuals or uncertainty.</w:t>
      </w:r>
    </w:p>
    <w:p>
      <w:r>
        <w:rPr>
          <w:b/>
        </w:rPr>
        <w:t>5. The manuscript needs a clearer distinction between fitted latent oxygen, effective resource stress, and experimentally assigned oxygen.</w:t>
      </w:r>
    </w:p>
    <w:p>
      <w:r>
        <w:t>In vitro oxygen is assigned by passage design, but in vivo oxygen is a latent effective resource variable. Several passages in the draft risk reading as if the in vivo oxygen trajectory is directly measured. The revised text should consistently use “effective O2/resource stress” for in vivo and reserve direct oxygen wording for the controlled in vitro setting.</w:t>
      </w:r>
    </w:p>
    <w:p>
      <w:r>
        <w:rPr>
          <w:b/>
        </w:rPr>
        <w:t>6. Reproducibility and provenance need final cleanup before submission.</w:t>
      </w:r>
    </w:p>
    <w:p>
      <w:r>
        <w:t>The output provenance records dirty Git status for some runs, and the manuscript still depends on paths, generated tables, and figure assemblies. Before submission, the authors should freeze the exact code commit, configuration YAML, parameter tables, selected result directories, and figure-generating scripts. This is especially important because the scientific interpretation depends on derived output tables and preprocessing classifications.</w:t>
      </w:r>
    </w:p>
    <w:p>
      <w:pPr>
        <w:pStyle w:val="Heading1"/>
      </w:pPr>
      <w:r>
        <w:t>Minor comments</w:t>
      </w:r>
    </w:p>
    <w:p>
      <w:r>
        <w:t>1. Remove all placeholder text such as “XX” and informal comments from the manuscript before circulation.</w:t>
      </w:r>
    </w:p>
    <w:p>
      <w:r>
        <w:t>2. Standardize terminology: use “missegregation” or “chromosome missegregation” consistently; avoid switching among “buffering,” “survival filter,” and “buffered loss” without definition.</w:t>
      </w:r>
    </w:p>
    <w:p>
      <w:r>
        <w:t>3. The parameter table caption still refers to an O2-glucose supply-demand model; revise if glucose is not an active model variable in the current manuscript.</w:t>
      </w:r>
    </w:p>
    <w:p>
      <w:r>
        <w:t>4. In figure captions, clearly label fixed-O2 heatmaps as projections of fitted solutions rather than independent oxygen-by-CIN interventions.</w:t>
      </w:r>
    </w:p>
    <w:p>
      <w:r>
        <w:t>5. Report the number of seeds used at every level: 500 separate in vivo, 500 separate in vitro, six joint warm-start pairs, and 500 joint optimizer seeds per pair, with top 10 retained per pair.</w:t>
      </w:r>
    </w:p>
    <w:p>
      <w:r>
        <w:t>6. Avoid using “significancy”; use “significance,” “importance,” or “supporting value,” depending on meaning.</w:t>
      </w:r>
    </w:p>
    <w:p>
      <w:r>
        <w:t>7. If necrosis is retained, define whether the necrosis objective uses total dead biomass, hypoxia-origin dead biomass, or both dead pools, and verify that the output table reflects the same definition.</w:t>
      </w:r>
    </w:p>
    <w:p>
      <w:r>
        <w:t>8. Add a short data/output availability note mapping the main figures to exact generated tables.</w:t>
      </w:r>
    </w:p>
    <w:p>
      <w:pPr>
        <w:pStyle w:val="Heading1"/>
      </w:pPr>
      <w:r>
        <w:t>Summary</w:t>
      </w:r>
    </w:p>
    <w:p>
      <w:r>
        <w:t>The manuscript is scientifically promising and now has enough preprocessing evidence to support a robust, nuanced story. The priority is to align claims with what the result files actually show: strong support for context-specific model axes, strong support for multiple plausible in vivo fixed-O2 response regimes, and insufficient current support for necrosis as an audited independent data stream.</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