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Major Comment Crosswalk</w:t>
      </w:r>
    </w:p>
    <w:p>
      <w:r>
        <w:t>This document maps each major review comment to the manuscript/result evidence, rationale, validation level, and expected impact. It is intentionally plain text without tables so it can be copied into a review workflow.</w:t>
      </w:r>
    </w:p>
    <w:p>
      <w:pPr>
        <w:pStyle w:val="Heading1"/>
      </w:pPr>
      <w:r>
        <w:t>Major comment 1: Necrosis is currently not auditable as an independent observation stream.</w:t>
      </w:r>
    </w:p>
    <w:p>
      <w:r>
        <w:t>Comment summary: The Methods describe terminal necrosis as an observation model, and the objective summaries contain necrosis components. Nevertheless, the retained output files show observed necrosis rows with zero finite predicted necrosis fractions: all 60 retained separate in vivo rows and all 360 retained joint rows have NaN predictions. This is a major inconsistency because it affects whether necrosis truly constrains the fitted live/dead decomposition. The manuscript should either repair the export/implementation and show finite predicted necrosis values, or state that necrosis was specified but not successfully audited in the current output package.</w:t>
      </w:r>
    </w:p>
    <w:p>
      <w:r>
        <w:t>Manuscript basis: Methods describes terminal necrosis as an observation model and links it to accumulated dead compartments. Results and captions also imply necrosis contributes to model interpretation.</w:t>
      </w:r>
    </w:p>
    <w:p>
      <w:r>
        <w:t>Result-file basis: `top10/fit_invivo_O2_buffering_500seed/*/necrosis_fit.tsv` and `top10/fit_joint.../*/*/invivo_necrosis_fit.tsv` contain observed necrosis fractions but NaN predicted necrosis fractions. The audit table `analysis_tables/necrosis_prediction_audit_top_results.csv` shows zero finite predicted values across all retained top in vivo and joint results.</w:t>
      </w:r>
    </w:p>
    <w:p>
      <w:r>
        <w:t>Why this is a concern: If predicted necrosis is missing, the reader cannot verify that the live/dead decomposition is constrained by histology. The objective summaries may still contain a necrosis component, but the result export does not allow independent review.</w:t>
      </w:r>
    </w:p>
    <w:p>
      <w:r>
        <w:t>Validation level: High for the exported files; unresolved for the internal likelihood implementation because the current package does not expose finite predicted necrosis values.</w:t>
      </w:r>
    </w:p>
    <w:p>
      <w:r>
        <w:t>Impact: Major. Claims that necrosis supports the fitted dead-compartment model should be removed or repaired before submission.</w:t>
      </w:r>
    </w:p>
    <w:p>
      <w:r/>
    </w:p>
    <w:p>
      <w:pPr>
        <w:pStyle w:val="Heading1"/>
      </w:pPr>
      <w:r>
        <w:t>Major comment 2: The in vivo fixed-O2 response should be presented as retained model uncertainty, not a single selected mechanism.</w:t>
      </w:r>
    </w:p>
    <w:p>
      <w:r>
        <w:t>Comment summary: The dense fixed-O2 preprocessing classifies 500 in vivo fits into multiple response classes: 52.2% complex nonmonotone, 29.8% inverted-U, 11.4% monotone-increasing, 5.0% u-shaped, 1.0% plateau-type, and 0.6% monotone-decreasing. Among the top 25 objective-ranked seeds, the response classes are still mixed. This means that the current data and model do not identify one oxygen-ploidy rule. The manuscript should explicitly state that the fixed-O2 analysis maps plausible regimes and constrains uncertainty rather than selecting a unique monotonic response.</w:t>
      </w:r>
    </w:p>
    <w:p>
      <w:r>
        <w:t>Manuscript basis: The in vivo Results and figure captions discuss O2-linked regimes and fixed-O2 attractors.</w:t>
      </w:r>
    </w:p>
    <w:p>
      <w:r>
        <w:t>Result-file basis: `joint_pre/cross_validation/.../fixed_o2_ploidy_monotonicity_class_counts.tsv` gives six curve classes across 500 seeds. The top-objective bins remain mixed, as summarized in `analysis_tables/fixed_o2_top25_class_counts.csv` and `analysis_tables/top10_invivo_fixed_o2_monotonicity.csv`.</w:t>
      </w:r>
    </w:p>
    <w:p>
      <w:r>
        <w:t>Why this is a concern: A single monotonic oxygen-ploidy interpretation would ignore the dominant nonmonotone and inverted-U classes. The model currently identifies regime uncertainty, not a unique response law.</w:t>
      </w:r>
    </w:p>
    <w:p>
      <w:r>
        <w:t>Validation level: High for the classification outputs; moderate for biological interpretation because small spectral gaps caution against overinterpreting some classes.</w:t>
      </w:r>
    </w:p>
    <w:p>
      <w:r>
        <w:t>Impact: Major. This changes the central Results framing from mechanism selection to constrained model uncertainty.</w:t>
      </w:r>
    </w:p>
    <w:p>
      <w:r/>
    </w:p>
    <w:p>
      <w:pPr>
        <w:pStyle w:val="Heading1"/>
      </w:pPr>
      <w:r>
        <w:t>Major comment 3: Joint-fit context differences are promising but should be interpreted as model-resolved hypotheses.</w:t>
      </w:r>
    </w:p>
    <w:p>
      <w:r>
        <w:t>Comment summary: The best joint seed supports lower in vivo lambda_max and higher in vivo stress-linked missegregation and death scale; this is an important result. However, several parameters are at or near bounds, and many Welsch soft-coupling penalties are saturated. Exact natural-scale ratios should therefore be reported as fitted summaries, not direct biological measurements. The Results and Discussion should emphasize robust qualitative axes across warm-start pairs and include a bounds/projection audit.</w:t>
      </w:r>
    </w:p>
    <w:p>
      <w:r>
        <w:t>Manuscript basis: The joint Results claim lower in vivo proliferation, stronger in vivo stress-linked missegregation, and altered daughter survival filtering.</w:t>
      </w:r>
    </w:p>
    <w:p>
      <w:r>
        <w:t>Result-file basis: `joint_soft_coupling_projection.tsv` for the best joint seed reports in vivo/in vitro ratios: lambda_max 0.177, p_misseg 11.12, mu_hp 10.27, alpha_o2 5.38, and gamma_growth 2.21. The six-pair summary in `analysis_tables/joint_soft_coupling_ratio_summary.csv` supports the same qualitative direction for several parameters.</w:t>
      </w:r>
    </w:p>
    <w:p>
      <w:r>
        <w:t>Why this is a concern: Some estimates are at bounds or show saturated Welsch penalties. The qualitative axes are credible, but exact parameter ratios may be overinterpreted if stated as measurements.</w:t>
      </w:r>
    </w:p>
    <w:p>
      <w:r>
        <w:t>Validation level: Moderate to high for directionality across top joint fits; lower for exact natural-scale point estimates.</w:t>
      </w:r>
    </w:p>
    <w:p>
      <w:r>
        <w:t>Impact: Major. The result is central, but it should be stated as a model-resolved hypothesis with bounds and sensitivity caveats.</w:t>
      </w:r>
    </w:p>
    <w:p>
      <w:r/>
    </w:p>
    <w:p>
      <w:pPr>
        <w:pStyle w:val="Heading1"/>
      </w:pPr>
      <w:r>
        <w:t>Major comment 4: The in vitro 2N deprived trajectory should be softened to avoid overclaiming replicate-level agreement.</w:t>
      </w:r>
    </w:p>
    <w:p>
      <w:r>
        <w:t>Comment summary: The best in vitro fit supports oxygen-dependent distributional broadening and high-ploidy enrichment in the 2N deprived branch. However, one late 2N deprived observed replicate has mean chromosome number 88.05 while the model predicts 64.27 for the shared segment. This does not invalidate the remodeling conclusion, but it means the text should not claim full recapitulation of every late high-ploidy observation. The manuscript should describe the fit as capturing broad remodeling and should show replicate-level residuals or uncertainty.</w:t>
      </w:r>
    </w:p>
    <w:p>
      <w:r>
        <w:t>Manuscript basis: The in vitro Results discuss high-ploidy/WGD expansion and later remodeling under oxygen deprivation.</w:t>
      </w:r>
    </w:p>
    <w:p>
      <w:r>
        <w:t>Result-file basis: `invitro_lineage_summary.tsv` for seed10 predicts 64.27 at the late 2N deprived A19 segment, while observed replicate means are 66.85 and 88.05. Quantiles from `invitro_distribution_quantiles.tsv` show broad predicted distributions, including q75=85 and q99=107 at passage 38.</w:t>
      </w:r>
    </w:p>
    <w:p>
      <w:r>
        <w:t>Why this is a concern: The broad distribution supports remodeling, but a shared model segment does not match one high observed replicate. Overstating recapitulation would expose the manuscript to criticism.</w:t>
      </w:r>
    </w:p>
    <w:p>
      <w:r>
        <w:t>Validation level: High for the numerical mismatch and distributional broadening in the exported tables.</w:t>
      </w:r>
    </w:p>
    <w:p>
      <w:r>
        <w:t>Impact: Moderate to major. It affects wording and figure interpretation, not the overall modeling framework.</w:t>
      </w:r>
    </w:p>
    <w:p>
      <w:r/>
    </w:p>
    <w:p>
      <w:pPr>
        <w:pStyle w:val="Heading1"/>
      </w:pPr>
      <w:r>
        <w:t>Major comment 5: The manuscript needs a clearer distinction between fitted latent oxygen, effective resource stress, and experimentally assigned oxygen.</w:t>
      </w:r>
    </w:p>
    <w:p>
      <w:r>
        <w:t>Comment summary: In vitro oxygen is assigned by passage design, but in vivo oxygen is a latent effective resource variable. Several passages in the draft risk reading as if the in vivo oxygen trajectory is directly measured. The revised text should consistently use “effective O2/resource stress” for in vivo and reserve direct oxygen wording for the controlled in vitro setting.</w:t>
      </w:r>
    </w:p>
    <w:p>
      <w:r>
        <w:t>Manuscript basis: The Methods distinguishes assigned in vitro oxygen from latent in vivo effective oxygen, but some Results wording could be read as direct oxygen measurement.</w:t>
      </w:r>
    </w:p>
    <w:p>
      <w:r>
        <w:t>Result-file basis: The fit outputs and fixed-O2 preprocessing operate on model-implied O2 values; no direct in vivo oxygen measurements are present in the provided result package.</w:t>
      </w:r>
    </w:p>
    <w:p>
      <w:r>
        <w:t>Why this is a concern: Treating latent O2 as measured oxygen would overstate empirical support and confuse resource stress with oxygen alone.</w:t>
      </w:r>
    </w:p>
    <w:p>
      <w:r>
        <w:t>Validation level: High for the absence of direct in vivo oxygen measurements in the provided outputs; interpretive caveat only.</w:t>
      </w:r>
    </w:p>
    <w:p>
      <w:r>
        <w:t>Impact: Moderate. Consistent terminology will substantially improve reviewer trust.</w:t>
      </w:r>
    </w:p>
    <w:p>
      <w:r/>
    </w:p>
    <w:p>
      <w:pPr>
        <w:pStyle w:val="Heading1"/>
      </w:pPr>
      <w:r>
        <w:t>Major comment 6: Reproducibility and provenance need final cleanup before submission.</w:t>
      </w:r>
    </w:p>
    <w:p>
      <w:r>
        <w:t>Comment summary: The output provenance records dirty Git status for some runs, and the manuscript still depends on paths, generated tables, and figure assemblies. Before submission, the authors should freeze the exact code commit, configuration YAML, parameter tables, selected result directories, and figure-generating scripts. This is especially important because the scientific interpretation depends on derived output tables and preprocessing classifications.</w:t>
      </w:r>
    </w:p>
    <w:p>
      <w:r>
        <w:t>Manuscript basis: The manuscript relies on many generated result files and figure assemblies.</w:t>
      </w:r>
    </w:p>
    <w:p>
      <w:r>
        <w:t>Result-file basis: `run_provenance.tsv` records dirty Git status for some top runs. The output package contains derived tables but not a single frozen reproducibility manifest tying commit, configuration, result directory, and figure-generation commands together.</w:t>
      </w:r>
    </w:p>
    <w:p>
      <w:r>
        <w:t>Why this is a concern: A mechanistic modeling paper needs exact reproducibility, especially when conclusions depend on optimizer landscapes and generated diagnostics.</w:t>
      </w:r>
    </w:p>
    <w:p>
      <w:r>
        <w:t>Validation level: High for the provided provenance files; action item for final manuscript packaging.</w:t>
      </w:r>
    </w:p>
    <w:p>
      <w:r>
        <w:t>Impact: Moderate to major depending on target journal and data/code policy.</w:t>
      </w:r>
    </w:p>
    <w:p>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