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Peer Review Report</w:t>
      </w:r>
    </w:p>
    <w:p>
      <w:pPr>
        <w:jc w:val="center"/>
      </w:pPr>
      <w:r>
        <w:rPr>
          <w:i/>
          <w:sz w:val="19"/>
        </w:rPr>
        <w:t>Manuscript: Resource limitation rewires chromosome instability and ploidy evolution across in vitro and in vivo cancer models</w:t>
      </w:r>
    </w:p>
    <w:p>
      <w:pPr>
        <w:jc w:val="center"/>
      </w:pPr>
      <w:r>
        <w:rPr>
          <w:i/>
          <w:sz w:val="19"/>
        </w:rPr>
        <w:t>Recommendation: Major Revision</w:t>
      </w:r>
    </w:p>
    <w:p>
      <w:pPr>
        <w:pStyle w:val="Heading1"/>
      </w:pPr>
      <w:r>
        <w:t>Overall Assessment</w:t>
      </w:r>
    </w:p>
    <w:p>
      <w:r>
        <w:t>This manuscript addresses an important and mechanistically interesting question: how resource context changes the production and selection of chromosome-number variation in matched near-diploid and near-tetraploid cancer lineages. The integration of passage-structured in vitro data, longitudinal in vivo tumor burden, terminal single-cell chromosome-number distributions, histologic necrosis, and a joint soft-coupled model is a substantial strength. Several findings are directionally stable across the selected solutions, particularly the low direct-death requirement for the severe-deprivation 4N chromosome-number decline, the lower effective proliferative ceiling in vivo, and the stronger nonzero-stress missegregation response in vivo.</w:t>
      </w:r>
    </w:p>
    <w:p>
      <w:r>
        <w:t>However, the current manuscript cannot yet support its strongest mechanistic claims. The joint method is described incorrectly in the repository draft, the post-missegregation survival direction is reversed when the complete nonlinear function is evaluated, the joint results are strongly conditioned on an asymmetric warm-start design, and most fixed-oxygen response curves do not have strong spectral separation. In addition, the objective used in the Figure 6 ranking diagnostic is not the fitted MAP objective, the necrosis export is broken, and the provenance does not yet identify a reproducible clean code state. These are correctable issues, but they require substantive revision of the methods, figures, results, and interpretation.</w:t>
      </w:r>
    </w:p>
    <w:p>
      <w:pPr>
        <w:pStyle w:val="Heading1"/>
      </w:pPr>
      <w:r>
        <w:t>Major Comments</w:t>
      </w:r>
    </w:p>
    <w:p>
      <w:pPr>
        <w:pStyle w:val="Heading2"/>
      </w:pPr>
      <w:r>
        <w:t>1. Correct the joint-model specification and make the manuscript match the implemented soft coupling</w:t>
      </w:r>
    </w:p>
    <w:p>
      <w:pPr>
        <w:keepLines w:val="0"/>
      </w:pPr>
      <w:r>
        <w:t>The repository draft states that alpha_o2 and gamma_growth are hard-shared and presents a quadratic Gaussian soft-coupling penalty for the remaining parameters. The current configuration, code path, README, and supplied joint outputs instead show that all 14 active biological parameters are represented by context-specific transformed center-delta values and are regularized by a bounded Welsch penalty. The manuscript must use one internally consistent specification throughout the main Methods, Supplementary Methods, Results, Figure 5 caption, and parameter descriptions.</w:t>
      </w:r>
    </w:p>
    <w:p>
      <w:pPr>
        <w:keepLines w:val="0"/>
      </w:pPr>
      <w:r>
        <w:t>The Welsch form is not a cosmetic implementation detail. With c = 0.4, the penalty cap is 0.08 per parameter, and the selected solutions use approximately 75.8-89.5% of the total 14-parameter cap. Several headline splits are near saturation in all selected solutions. The authors should report the standardized deltas and saturation status and should avoid language implying that the estimated separations persisted under an indefinitely increasing quadratic shrinkage penalty.</w:t>
      </w:r>
    </w:p>
    <w:p>
      <w:pPr>
        <w:pStyle w:val="Heading2"/>
      </w:pPr>
      <w:r>
        <w:t>2. Correct the altered-daughter survival interpretation and regenerate the relevant figure and text</w:t>
      </w:r>
    </w:p>
    <w:p>
      <w:pPr>
        <w:keepLines w:val="0"/>
      </w:pPr>
      <w:r>
        <w:t>The manuscript currently concludes that post-missegregation survival is more ploidy-dependent in vivo. Direct evaluation of the complete fitted survival function gives the opposite gradient. Across all 60 selected joint solutions, median per-copy survival is approximately 0.807 at 44 chromosomes and 0.911 at 88 chromosomes in vivo, compared with 0.204 and 0.837 in vitro. Thus, absolute altered-daughter survival is higher in vivo at both reference states, whereas the 44-to-88 chromosome survival gradient is much stronger in vitro (median absolute gradient 0.633 versus 0.096).</w:t>
      </w:r>
    </w:p>
    <w:p>
      <w:pPr>
        <w:keepLines w:val="0"/>
      </w:pPr>
      <w:r>
        <w:t>This correction must be applied consistently to the Abstract, Results, Discussion, Figure 5D, Figure 5 caption, and any ratio panel. The safest presentation is to plot the derived survival functions, or function-level contrasts at biologically defined chromosome states, rather than to infer direction from s_max, beta_buf, and n_exp separately.</w:t>
      </w:r>
    </w:p>
    <w:p>
      <w:pPr>
        <w:pStyle w:val="Heading2"/>
      </w:pPr>
      <w:r>
        <w:t>3. Demonstrate joint-optimization robustness and broaden the warm-start design</w:t>
      </w:r>
    </w:p>
    <w:p>
      <w:pPr>
        <w:keepLines w:val="0"/>
      </w:pPr>
      <w:r>
        <w:t>The six joint warm starts are objective-minimum representatives of six exploratory in vivo subclusters, but all six are paired with the same in vitro seed 10 from one 376-seed subcluster. Other in vitro subclusters are not represented. The six pair-specific best objectives range from 18.852 to 19.978, and all 60 selected local refinements were attempted but not accepted. Therefore, the selected joint fits are conditional local candidate solutions rather than a demonstrated global optimum or a balanced comparison of the two environments.</w:t>
      </w:r>
    </w:p>
    <w:p>
      <w:pPr>
        <w:keepLines w:val="0"/>
      </w:pPr>
      <w:r>
        <w:t>The authors should expand the start design to include representative solutions from the in vitro landscape, or provide a systematic sensitivity analysis showing that the headline derived functions remain stable across a broader in vivo-by-in vitro start matrix. The convergence code, local-refinement rejection, stopping criteria, and movement from each warm start should be diagnosed explicitly. Until then, precise fold changes should be presented as ranges across selected local solutions, not as uniquely identified effects.</w:t>
      </w:r>
    </w:p>
    <w:p>
      <w:pPr>
        <w:pStyle w:val="Heading2"/>
      </w:pPr>
      <w:r>
        <w:t>4. Quantify practical identifiability and bound sensitivity</w:t>
      </w:r>
    </w:p>
    <w:p>
      <w:pPr>
        <w:keepLines w:val="0"/>
      </w:pPr>
      <w:r>
        <w:t>The separate in vivo top-ten solutions have nearly equivalent objectives but widely different values for multiple mechanistic parameters, and several parameters reach calibration bounds. Sigma_burden is at its upper bound in all ten selected in vivo fits. The joint solutions also contain multiple boundary-limited context values and saturated soft-coupling dimensions. These patterns indicate practical non-identifiability or strong parameter compensation.</w:t>
      </w:r>
    </w:p>
    <w:p>
      <w:pPr>
        <w:keepLines w:val="0"/>
      </w:pPr>
      <w:r>
        <w:t>A formal uncertainty analysis is required for the parameters and, more importantly, for the derived biological response functions used in the conclusions. Profile likelihood, parametric bootstrap, structured multistart envelopes, or an equivalent likelihood-based approach would be appropriate. The analysis should report whether the derived proliferation, missegregation, and survival contrasts remain bounded and directionally stable when nuisance parameters are re-optimized. Raue et al. specifically distinguish practical non-identifiability caused by limited data from structural non-identifiability and show how profile likelihood can identify flat directions and likelihood-based intervals (Bioinformatics 2009; Sections 2.2, 2.3, and 6; doi:10.1093/bioinformatics/btp358).</w:t>
      </w:r>
    </w:p>
    <w:p>
      <w:pPr>
        <w:pStyle w:val="Heading2"/>
      </w:pPr>
      <w:r>
        <w:t>5. Integrate the full fixed-oxygen spectral-gap audit into the main interpretation</w:t>
      </w:r>
    </w:p>
    <w:p>
      <w:pPr>
        <w:keepLines w:val="0"/>
      </w:pPr>
      <w:r>
        <w:t>The newly supplied preprocessing permits direct validation of the full 500-seed fixed-oxygen analysis. The analysis contains 100,500 seed-oxygen attractor evaluations. Only 141 of 500 fits (28.2%) meet the recorded reliable spectral-gap criterion; 168 are cautionary and 191 are unreliable. None of the six in vivo warm-start representatives used for joint fitting is reliable: three are cautionary and three are unreliable.</w:t>
      </w:r>
    </w:p>
    <w:p>
      <w:pPr>
        <w:keepLines w:val="0"/>
      </w:pPr>
      <w:r>
        <w:t>The manuscript should distinguish raw response shape from reliability in all fixed-oxygen figures and text. Small spectral gaps imply slow or ambiguous dominance between leading modes, so a curve label alone should not be interpreted as a stable long-term biological regime. The authors should show the reliability composition of every response class, identify the reliability of the selected warm starts, and perform sensitivity analyses on the gap thresholds or finite-time horizon.</w:t>
      </w:r>
    </w:p>
    <w:p>
      <w:pPr>
        <w:pStyle w:val="Heading2"/>
      </w:pPr>
      <w:r>
        <w:t>6. Correct the objective definition used in the Figure 6 selection diagnostic</w:t>
      </w:r>
    </w:p>
    <w:p>
      <w:pPr>
        <w:keepLines w:val="0"/>
      </w:pPr>
      <w:r>
        <w:t>The fixed-oxygen pipeline selects objective_source = raw_likelihood for all 500 seeds when the automatic selector is used. This value is the raw burden-plus-ploidy likelihood diagnostic, not the complete fitted MAP objective that includes the normalized component structure, necrosis, and prior contribution. Its Spearman correlation with the separate-fit MAP objective is only approximately 0.429. Consequently, rings or rankings described as the best fitted or lowest-objective MAP solutions are mislabeled.</w:t>
      </w:r>
    </w:p>
    <w:p>
      <w:pPr>
        <w:keepLines w:val="0"/>
      </w:pPr>
      <w:r>
        <w:t>The authors should regenerate the panel using an explicitly reconstructed MAP objective, or relabel it throughout as a raw-likelihood diagnostic and avoid using it to select a preferred MAP response class. The seed-level objective crosswalk used to generate the panel should be released. The exact Figure 4 AUC input and result tables should also be provided because their ranking could not be independently reproduced from the supplied archives.</w:t>
      </w:r>
    </w:p>
    <w:p>
      <w:pPr>
        <w:pStyle w:val="Heading2"/>
      </w:pPr>
      <w:r>
        <w:t>7. Repair the necrosis observation export and align the equation, code, and report</w:t>
      </w:r>
    </w:p>
    <w:p>
      <w:pPr>
        <w:keepLines w:val="0"/>
      </w:pPr>
      <w:r>
        <w:t>The necrosis term is active in the fitted objective, but every inspected independent and joint necrosis_fit.tsv contains missing predicted values. Predicted necrosis can be reconstructed from the harvest-time dead-to-total burden ratio, and the reconstructed loss matches the reported objective only when the squared standardized logit residual is averaged without the factor of one-half shown in the repository draft equation. This reveals two distinct issues: a broken post-fit export and a factor-of-two Methods mismatch.</w:t>
      </w:r>
    </w:p>
    <w:p>
      <w:pPr>
        <w:keepLines w:val="0"/>
      </w:pPr>
      <w:r>
        <w:t>The authors should repair the export so that observed value, predicted value, residual, standardized residual, inclusion status, and objective contribution are all written for each mapped sample. An automated test should reconstruct the necrosis objective from the exported table and compare it with fit_summary.tsv. The manuscript equation, code, and report must use exactly the same normalization.</w:t>
      </w:r>
    </w:p>
    <w:p>
      <w:pPr>
        <w:pStyle w:val="Heading2"/>
      </w:pPr>
      <w:r>
        <w:t>8. Moderate the in vitro trajectory and individual-tumor fit claims</w:t>
      </w:r>
    </w:p>
    <w:p>
      <w:pPr>
        <w:keepLines w:val="0"/>
      </w:pPr>
      <w:r>
        <w:t>The severe-deprivation 4N result is supported: across the selected in vitro top-ten fits, mean chromosome number declines by 3.54-4.17 while direct hypoxia-origin dead burden remains 1.74-1.82%. In contrast, the 2N deprived model generates a mixed low/high chromosome distribution but does not reproduce the late divergence between the two experimental branches. The two observed final means are approximately 66.85 and 88.05, whereas the selected predictions are shared and approximately 63.72-64.40. The manuscript should not describe this as a uniformly transient high-ploidy expansion followed by an overall return to low ploidy.</w:t>
      </w:r>
    </w:p>
    <w:p>
      <w:pPr>
        <w:keepLines w:val="0"/>
      </w:pPr>
      <w:r>
        <w:t>Similarly, the in vivo model gives the same prediction to tumors sharing starting cohort and harvest time because no mouse-specific latent effect or harvest-specific initial multiplier is fitted. The burden and endpoint summaries are useful at the cohort level, but the manuscript should not imply accurate individualized trajectories. Report the absolute fit-quality metrics and state explicitly which heterogeneity is represented versus left in residuals.</w:t>
      </w:r>
    </w:p>
    <w:p>
      <w:pPr>
        <w:pStyle w:val="Heading2"/>
      </w:pPr>
      <w:r>
        <w:t>9. Separate biological nonviability from finite-grid boundary loss</w:t>
      </w:r>
    </w:p>
    <w:p>
      <w:pPr>
        <w:keepLines w:val="0"/>
      </w:pPr>
      <w:r>
        <w:t>The CIN-associated dead compartment receives both post-missegregation nonviable daughter mass and daughter or WGD mass routed outside the retained chromosome grid of 22-154. The in vitro selected solutions show a much larger CIN-associated fraction than direct hypoxia-origin death, but this fraction cannot be interpreted entirely as biological lethality while numerical boundary routing is included.</w:t>
      </w:r>
    </w:p>
    <w:p>
      <w:pPr>
        <w:keepLines w:val="0"/>
      </w:pPr>
      <w:r>
        <w:t>The authors should export and plot missegregation-nonviable and boundary-dropped components separately and repeat the principal conclusions with expanded N_MIN/N_MAX values. A grid-sensitivity analysis is essential before using the magnitude of the CIN-associated compartment as a biological readout.</w:t>
      </w:r>
    </w:p>
    <w:p>
      <w:pPr>
        <w:pStyle w:val="Heading2"/>
      </w:pPr>
      <w:r>
        <w:t>10. Provide a reproducible, figure-level release with clean provenance</w:t>
      </w:r>
    </w:p>
    <w:p>
      <w:pPr>
        <w:keepLines w:val="0"/>
      </w:pPr>
      <w:r>
        <w:t>The selected independent in vivo and joint runs record different commits and dirty working trees, while the selected in vitro directories do not contain equivalent run_provenance.tsv files. The full fixed-oxygen and clustering tables are now available, but the Figure 4 seed-level AUC tables remain absent. The current package therefore cannot identify one exact code state and complete intermediate-data chain for every figure.</w:t>
      </w:r>
    </w:p>
    <w:p>
      <w:pPr>
        <w:keepLines w:val="0"/>
      </w:pPr>
      <w:r>
        <w:t>The final release should bind each result to a clean tagged commit or an archived patch, resolved configuration and parameter tables, exact input checksums, random seeds, software/container versions, intermediate tables, and a figure-to-source manifest. Sandve et al. emphasize recording how every result was produced, versioning custom scripts, retaining detailed output underlying summaries, and making scripts/runs/results accessible (PLOS Computational Biology 2013; Rules 1, 4, 8, and 10; doi:10.1371/journal.pcbi.1003285). The FAIR Principles additionally require detailed provenance for reusable digital research objects, including algorithms and workflows (Wilkinson et al., Scientific Data 2016; Box 2, R1.2; doi:10.1038/sdata.2016.18).</w:t>
      </w:r>
    </w:p>
    <w:p>
      <w:pPr>
        <w:pStyle w:val="Heading1"/>
      </w:pPr>
      <w:r>
        <w:t>Minor Comments</w:t>
      </w:r>
    </w:p>
    <w:p>
      <w:pPr>
        <w:ind w:left="216" w:hanging="216"/>
      </w:pPr>
      <w:r>
        <w:rPr>
          <w:b/>
        </w:rPr>
        <w:t xml:space="preserve">1. </w:t>
      </w:r>
      <w:r>
        <w:t>State the number of tumors with mapped necrosis measurements in the main Methods, not only in supplementary text.</w:t>
      </w:r>
    </w:p>
    <w:p>
      <w:pPr>
        <w:ind w:left="216" w:hanging="216"/>
      </w:pPr>
      <w:r>
        <w:rPr>
          <w:b/>
        </w:rPr>
        <w:t xml:space="preserve">2. </w:t>
      </w:r>
      <w:r>
        <w:t>Use “chromosome number” when the modeled state is total chromosome count and reserve “ploidy” for normalized or categorical quantities. Define every conversion explicitly.</w:t>
      </w:r>
    </w:p>
    <w:p>
      <w:pPr>
        <w:ind w:left="216" w:hanging="216"/>
      </w:pPr>
      <w:r>
        <w:rPr>
          <w:b/>
        </w:rPr>
        <w:t xml:space="preserve">3. </w:t>
      </w:r>
      <w:r>
        <w:t>Report oxygen units consistently as percent O2 and distinguish assigned in vitro oxygen from latent effective in vivo oxygen.</w:t>
      </w:r>
    </w:p>
    <w:p>
      <w:pPr>
        <w:ind w:left="216" w:hanging="216"/>
      </w:pPr>
      <w:r>
        <w:rPr>
          <w:b/>
        </w:rPr>
        <w:t xml:space="preserve">4. </w:t>
      </w:r>
      <w:r>
        <w:t>Do not use “significant” for differences that have not undergone a defined statistical test. Use “directionally consistent across selected solutions” where appropriate.</w:t>
      </w:r>
    </w:p>
    <w:p>
      <w:pPr>
        <w:ind w:left="216" w:hanging="216"/>
      </w:pPr>
      <w:r>
        <w:rPr>
          <w:b/>
        </w:rPr>
        <w:t xml:space="preserve">5. </w:t>
      </w:r>
      <w:r>
        <w:t>Describe top-ten and top-sixty ranges as optimizer-robustness summaries, not confidence intervals.</w:t>
      </w:r>
    </w:p>
    <w:p>
      <w:pPr>
        <w:ind w:left="216" w:hanging="216"/>
      </w:pPr>
      <w:r>
        <w:rPr>
          <w:b/>
        </w:rPr>
        <w:t xml:space="preserve">6. </w:t>
      </w:r>
      <w:r>
        <w:t>Clarify that the WGD branch is implemented as an effective tracked-lineage conversion with unit retained mass, not as two viable daughters.</w:t>
      </w:r>
    </w:p>
    <w:p>
      <w:pPr>
        <w:ind w:left="216" w:hanging="216"/>
      </w:pPr>
      <w:r>
        <w:rPr>
          <w:b/>
        </w:rPr>
        <w:t xml:space="preserve">7. </w:t>
      </w:r>
      <w:r>
        <w:t>Report all fixed-oxygen classification thresholds and the exact finite-difference rule version in a permanent supplementary table.</w:t>
      </w:r>
    </w:p>
    <w:p>
      <w:pPr>
        <w:ind w:left="216" w:hanging="216"/>
      </w:pPr>
      <w:r>
        <w:rPr>
          <w:b/>
        </w:rPr>
        <w:t xml:space="preserve">8. </w:t>
      </w:r>
      <w:r>
        <w:t>For t-SNE, report perplexity, learning rate, iteration count, random seed, and stability across repeated embeddings. t-SNE cluster sizes and inter-cluster distances should not be given biological meaning; Wattenberg et al. discuss these specific interpretation failures in Sections 1-3 (Distill 2016; doi:10.23915/distill.00002).</w:t>
      </w:r>
    </w:p>
    <w:p>
      <w:pPr>
        <w:ind w:left="216" w:hanging="216"/>
      </w:pPr>
      <w:r>
        <w:rPr>
          <w:b/>
        </w:rPr>
        <w:t xml:space="preserve">9. </w:t>
      </w:r>
      <w:r>
        <w:t>Reconcile panel lettering in Figure 6 and ensure that every panel mentioned in the Results exists in the assembled figure and has a source table.</w:t>
      </w:r>
    </w:p>
    <w:p>
      <w:pPr>
        <w:ind w:left="216" w:hanging="216"/>
      </w:pPr>
      <w:r>
        <w:rPr>
          <w:b/>
        </w:rPr>
        <w:t xml:space="preserve">10. </w:t>
      </w:r>
      <w:r>
        <w:t>Remove all remaining editorial placeholders, unsupported exact causal language, and references to analyses whose input tables are not released.</w:t>
      </w:r>
    </w:p>
    <w:p>
      <w:pPr>
        <w:ind w:left="216" w:hanging="216"/>
      </w:pPr>
      <w:r>
        <w:rPr>
          <w:b/>
        </w:rPr>
        <w:t xml:space="preserve">11. </w:t>
      </w:r>
      <w:r>
        <w:t>Add a Data and Code Availability section that names the permanent repository release, archive DOI, container or environment specification, and figure-generation entry point.</w:t>
      </w:r>
    </w:p>
    <w:p>
      <w:pPr>
        <w:ind w:left="216" w:hanging="216"/>
      </w:pPr>
      <w:r>
        <w:rPr>
          <w:b/>
        </w:rPr>
        <w:t xml:space="preserve">12. </w:t>
      </w:r>
      <w:r>
        <w:t>Check all parameter symbols and subscripts for consistency between the main text, equations, parameter tables, code names, and plot labels.</w:t>
      </w:r>
    </w:p>
    <w:p>
      <w:pPr>
        <w:pStyle w:val="Heading1"/>
      </w:pPr>
      <w:r>
        <w:t>Recommendation</w:t>
      </w:r>
    </w:p>
    <w:p>
      <w:r>
        <w:t>Major Revision. The central framework is potentially valuable, and several direction-level conclusions are supported. Publication readiness depends on correcting the joint method and survival direction, demonstrating broader optimization and identifiability robustness, integrating the spectral-gap audit, repairing the objective/export inconsistencies, and providing complete figure-level provenance.</w:t>
      </w:r>
    </w:p>
    <w:p>
      <w:pPr>
        <w:pStyle w:val="Heading1"/>
      </w:pPr>
      <w:r>
        <w:t>Methodological References Cited in This Review</w:t>
      </w:r>
    </w:p>
    <w:p>
      <w:r>
        <w:t>Raue A, Kreutz C, Maiwald T, et al. Structural and practical identifiability analysis of partially observed dynamical models by exploiting the profile likelihood. Bioinformatics. 2009;25:1923-1929. doi:10.1093/bioinformatics/btp358.</w:t>
      </w:r>
    </w:p>
    <w:p>
      <w:r>
        <w:t>Wattenberg M, Viégas F, Johnson I. How to Use t-SNE Effectively. Distill. 2016. doi:10.23915/distill.00002.</w:t>
      </w:r>
    </w:p>
    <w:p>
      <w:r>
        <w:t>Sandve GK, Nekrutenko A, Taylor J, Hovig E. Ten Simple Rules for Reproducible Computational Research. PLoS Comput Biol. 2013;9:e1003285. doi:10.1371/journal.pcbi.1003285.</w:t>
      </w:r>
    </w:p>
    <w:p>
      <w:r>
        <w:t>Wilkinson MD, Dumontier M, Aalbersberg IJJ, et al. The FAIR Guiding Principles for scientific data management and stewardship. Sci Data. 2016;3:160018. doi:10.1038/sdata.2016.18.</w:t>
      </w:r>
    </w:p>
    <w:sectPr w:rsidR="00FC693F" w:rsidRPr="0006063C" w:rsidSect="00034616">
      <w:footerReference w:type="default" r:id="rId9"/>
      <w:pgSz w:w="12240" w:h="15840"/>
      <w:pgMar w:top="1080"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