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Major Comment Evidence Crosswalk</w:t>
      </w:r>
    </w:p>
    <w:p>
      <w:pPr>
        <w:jc w:val="center"/>
      </w:pPr>
      <w:r>
        <w:rPr>
          <w:i/>
          <w:sz w:val="19"/>
        </w:rPr>
        <w:t>Detailed trace from manuscript statements to code, result files, verification, impact, and acceptance criteria</w:t>
      </w:r>
    </w:p>
    <w:p>
      <w:pPr>
        <w:pStyle w:val="Heading1"/>
      </w:pPr>
      <w:r>
        <w:t>Purpose and Evidence Standard</w:t>
      </w:r>
    </w:p>
    <w:p>
      <w:r>
        <w:t>This document traces every major review comment to the repository manuscript, supplied result archives, repository implementation, independent recalculation, and any external methodological reference. “Verified” means that the stated quantity or implementation was directly reproduced from the supplied files or code. “Partially verified” means that the broad analysis is present but one or more source tables required for exact numerical reproduction are missing. No comment below is based solely on plausibility.</w:t>
      </w:r>
    </w:p>
    <w:p>
      <w:pPr>
        <w:pStyle w:val="Heading1"/>
      </w:pPr>
      <w:r>
        <w:t>Major Comment 1: Joint specification does not match the implemented 14-parameter Welsch soft coupling</w:t>
      </w:r>
    </w:p>
    <w:p>
      <w:pPr>
        <w:keepLines w:val="0"/>
      </w:pPr>
      <w:r>
        <w:rPr>
          <w:b/>
        </w:rPr>
        <w:t xml:space="preserve">Review comment: </w:t>
      </w:r>
      <w:r>
        <w:t>Rewrite the joint Methods so that all 14 active biological parameters are soft-coupled through transformed center-delta values and the implemented bounded Welsch penalty. Remove the hard-shared alpha_o2/gamma_growth description and the quadratic penalty equation.</w:t>
      </w:r>
    </w:p>
    <w:p>
      <w:pPr>
        <w:keepLines w:val="0"/>
      </w:pPr>
      <w:r>
        <w:rPr>
          <w:b/>
        </w:rPr>
        <w:t xml:space="preserve">Manuscript basis: </w:t>
      </w:r>
      <w:r>
        <w:t>Repository Supplementary Methods, “Joint fitting of in vivo and in vitro data,” states that alpha_o2 and gamma_growth are hard-shared, lists 12 soft-coupled parameters, includes an unresolved editorial note, and defines a quadratic penalty. Main Results and Figure 5 imply that all 14 active parameters are context-specific.</w:t>
      </w:r>
    </w:p>
    <w:p>
      <w:pPr>
        <w:keepLines w:val="0"/>
      </w:pPr>
      <w:r>
        <w:rPr>
          <w:b/>
        </w:rPr>
        <w:t xml:space="preserve">Result/code evidence: </w:t>
      </w:r>
      <w:r>
        <w:t>Repo config `oxygen/config/O2_supply_demand.yaml` lists 14 names in `joint_soft_coupling_params`; Repo README and joint backend define center + delta/2 for in vivo, center - delta/2 for in vitro, union transformed bounds, and a Welsch penalty. Every supplied `joint_soft_coupling.tsv` contains the 14 context-specific parameters; the active hard-shared biological table is empty. The Welsch cap is 0.08 per parameter at c=0.4. `analysis/joint_soft_coupling_parameter_summary.csv` and `analysis/joint_selected60_fit_summary.csv` show substantial saturation.</w:t>
      </w:r>
    </w:p>
    <w:p>
      <w:pPr>
        <w:keepLines w:val="0"/>
      </w:pPr>
      <w:r>
        <w:rPr>
          <w:b/>
        </w:rPr>
        <w:t xml:space="preserve">Why this is a concern: </w:t>
      </w:r>
      <w:r>
        <w:t>The parameterization determines the dimensionality, admissible domain, regularization geometry, and biological meaning of every context ratio. A bounded robust penalty behaves differently from a Gaussian prior: once saturated, additional separation is nearly unpenalized.</w:t>
      </w:r>
    </w:p>
    <w:p>
      <w:pPr>
        <w:keepLines w:val="0"/>
      </w:pPr>
      <w:r>
        <w:rPr>
          <w:b/>
        </w:rPr>
        <w:t xml:space="preserve">External methodological basis: </w:t>
      </w:r>
      <w:r>
        <w:t>No external theory is needed to establish the mismatch; it is a direct code/result audit.</w:t>
      </w:r>
    </w:p>
    <w:p>
      <w:pPr>
        <w:keepLines w:val="0"/>
      </w:pPr>
      <w:r>
        <w:rPr>
          <w:b/>
        </w:rPr>
        <w:t xml:space="preserve">Verification level: </w:t>
      </w:r>
      <w:r>
        <w:t>Verified from config, README/backend semantics, and 60 selected joint outputs.</w:t>
      </w:r>
    </w:p>
    <w:p>
      <w:pPr>
        <w:keepLines w:val="0"/>
      </w:pPr>
      <w:r>
        <w:rPr>
          <w:b/>
        </w:rPr>
        <w:t xml:space="preserve">Impact: </w:t>
      </w:r>
      <w:r>
        <w:t>Critical. The current Methods are factually inconsistent with the fitted model and could lead readers to infer nonexistent hard constraints and stronger shrinkage than was used.</w:t>
      </w:r>
    </w:p>
    <w:p>
      <w:pPr>
        <w:keepLines w:val="0"/>
      </w:pPr>
      <w:r>
        <w:rPr>
          <w:b/>
        </w:rPr>
        <w:t xml:space="preserve">Acceptance criterion: </w:t>
      </w:r>
      <w:r>
        <w:t>All manuscript sections and figures use the 14-parameter center-delta Welsch formulation; the exact formula, sigma, c, cap, bounds, and feasibility rules are stated; saturation diagnostics are reported.</w:t>
      </w:r>
    </w:p>
    <w:p>
      <w:pPr>
        <w:pStyle w:val="Heading1"/>
      </w:pPr>
      <w:r>
        <w:t>Major Comment 2: The fitted survival-function direction is reversed in the repository narrative</w:t>
      </w:r>
    </w:p>
    <w:p>
      <w:pPr>
        <w:keepLines w:val="0"/>
      </w:pPr>
      <w:r>
        <w:rPr>
          <w:b/>
        </w:rPr>
        <w:t xml:space="preserve">Review comment: </w:t>
      </w:r>
      <w:r>
        <w:t>Replace the claim of stronger ploidy-dependent survival in vivo with the function-level result: absolute altered-daughter survival is higher in vivo, but ploidy dependence is weaker in vivo and stronger in vitro.</w:t>
      </w:r>
    </w:p>
    <w:p>
      <w:pPr>
        <w:keepLines w:val="0"/>
      </w:pPr>
      <w:r>
        <w:rPr>
          <w:b/>
        </w:rPr>
        <w:t xml:space="preserve">Manuscript basis: </w:t>
      </w:r>
      <w:r>
        <w:t>Repository Results, “Tumors and culture impose distinct ploidy-selective pressures,” states that the post-missegregation survival function is more ploidy-dependent in vivo. The Discussion repeats this interpretation through lower s_max, lower beta_buf, and higher n_exp. Figure 5D/caption is framed in the same direction.</w:t>
      </w:r>
    </w:p>
    <w:p>
      <w:pPr>
        <w:keepLines w:val="0"/>
      </w:pPr>
      <w:r>
        <w:rPr>
          <w:b/>
        </w:rPr>
        <w:t xml:space="preserve">Result/code evidence: </w:t>
      </w:r>
      <w:r>
        <w:t>The implemented function is `s_N = s_max * exp[-beta_buf*(44/N)^n_exp]`. Direct evaluation for every selected joint solution gives median in vivo s44=0.807 and s88=0.911, versus in vitro s44=0.204 and s88=0.837. Median s88/s44 is 1.12 in vivo and 4.11 in vitro; median absolute gradient is 0.096 versus 0.633. In 60/60 solutions, absolute survival is higher in vivo at both N values; in 0/60 is the in vivo gradient stronger. See `analysis/joint_survival_function_all60.csv` and `analysis/joint_survival_function_summary_all60.csv`.</w:t>
      </w:r>
    </w:p>
    <w:p>
      <w:pPr>
        <w:keepLines w:val="0"/>
      </w:pPr>
      <w:r>
        <w:rPr>
          <w:b/>
        </w:rPr>
        <w:t xml:space="preserve">Why this is a concern: </w:t>
      </w:r>
      <w:r>
        <w:t>Nonlinear parameter combinations cannot be interpreted reliably from component directions. The biological prediction is the evaluated function, not the sign of an individual parameter change.</w:t>
      </w:r>
    </w:p>
    <w:p>
      <w:pPr>
        <w:keepLines w:val="0"/>
      </w:pPr>
      <w:r>
        <w:rPr>
          <w:b/>
        </w:rPr>
        <w:t xml:space="preserve">External methodological basis: </w:t>
      </w:r>
      <w:r>
        <w:t>No external theory is required; the correction follows by direct substitution into the manuscript’s own equation.</w:t>
      </w:r>
    </w:p>
    <w:p>
      <w:pPr>
        <w:keepLines w:val="0"/>
      </w:pPr>
      <w:r>
        <w:rPr>
          <w:b/>
        </w:rPr>
        <w:t xml:space="preserve">Verification level: </w:t>
      </w:r>
      <w:r>
        <w:t>Verified across all 60 selected joint solutions.</w:t>
      </w:r>
    </w:p>
    <w:p>
      <w:pPr>
        <w:keepLines w:val="0"/>
      </w:pPr>
      <w:r>
        <w:rPr>
          <w:b/>
        </w:rPr>
        <w:t xml:space="preserve">Impact: </w:t>
      </w:r>
      <w:r>
        <w:t>Critical scientific direction error. It changes which environment is inferred to impose stronger ploidy discrimination after missegregation.</w:t>
      </w:r>
    </w:p>
    <w:p>
      <w:pPr>
        <w:keepLines w:val="0"/>
      </w:pPr>
      <w:r>
        <w:rPr>
          <w:b/>
        </w:rPr>
        <w:t xml:space="preserve">Acceptance criterion: </w:t>
      </w:r>
      <w:r>
        <w:t>Abstract, Results, Discussion, Figure 5D, all captions, and summary statements display the corrected function-level direction and include the range across selected solutions.</w:t>
      </w:r>
    </w:p>
    <w:p>
      <w:pPr>
        <w:pStyle w:val="Heading1"/>
      </w:pPr>
      <w:r>
        <w:t>Major Comment 3: Joint solutions are conditioned on asymmetric exploratory warm starts and unaccepted local refinement</w:t>
      </w:r>
    </w:p>
    <w:p>
      <w:pPr>
        <w:keepLines w:val="0"/>
      </w:pPr>
      <w:r>
        <w:rPr>
          <w:b/>
        </w:rPr>
        <w:t xml:space="preserve">Review comment: </w:t>
      </w:r>
      <w:r>
        <w:t>Broaden the in vitro warm-start coverage, diagnose local-refinement failure, and present current joint results as local candidate regimes rather than a unique optimum.</w:t>
      </w:r>
    </w:p>
    <w:p>
      <w:pPr>
        <w:keepLines w:val="0"/>
      </w:pPr>
      <w:r>
        <w:rPr>
          <w:b/>
        </w:rPr>
        <w:t xml:space="preserve">Manuscript basis: </w:t>
      </w:r>
      <w:r>
        <w:t>Repository Results and Figure 5A describe six in vivo landscape-informed warm starts paired with the same best in vitro fit but do not explain the unrepresented in vitro subclusters, subcluster quality, pair-level objective spread, or local-refinement status.</w:t>
      </w:r>
    </w:p>
    <w:p>
      <w:pPr>
        <w:keepLines w:val="0"/>
      </w:pPr>
      <w:r>
        <w:rPr>
          <w:b/>
        </w:rPr>
        <w:t xml:space="preserve">Result/code evidence: </w:t>
      </w:r>
      <w:r>
        <w:t>`joint_pre.zip` shows six in vivo objective-minimum representatives from six subclusters and a single in vitro seed 10 from vt_C02_Sc02 (376/500 fits). Other in vitro subclusters are not represented. Pair-best objectives are 18.852, 18.890, 18.970, 19.414, 19.791, and 19.978. All 60 selected fits record local attempted but local accepted = false. See `analysis/joint_pair_summary.csv`, `analysis/joint_selected60_fit_summary.csv`, and warm-start movement tables.</w:t>
      </w:r>
    </w:p>
    <w:p>
      <w:pPr>
        <w:keepLines w:val="0"/>
      </w:pPr>
      <w:r>
        <w:rPr>
          <w:b/>
        </w:rPr>
        <w:t xml:space="preserve">Why this is a concern: </w:t>
      </w:r>
      <w:r>
        <w:t>A one-sided start panel cannot establish robustness to culture-parameter uncertainty. Pair-level objective separation and failed local acceptance indicate that optimizer basin and bounds materially affect the selected solution.</w:t>
      </w:r>
    </w:p>
    <w:p>
      <w:pPr>
        <w:keepLines w:val="0"/>
      </w:pPr>
      <w:r>
        <w:rPr>
          <w:b/>
        </w:rPr>
        <w:t xml:space="preserve">External methodological basis: </w:t>
      </w:r>
      <w:r>
        <w:t>No external citation is necessary to establish the design limitation. It is an observed property of the supplied start matrix and optimizer outputs.</w:t>
      </w:r>
    </w:p>
    <w:p>
      <w:pPr>
        <w:keepLines w:val="0"/>
      </w:pPr>
      <w:r>
        <w:rPr>
          <w:b/>
        </w:rPr>
        <w:t xml:space="preserve">Verification level: </w:t>
      </w:r>
      <w:r>
        <w:t>Verified from `joint_pre.zip` representative crosswalks and 60 joint seed outputs.</w:t>
      </w:r>
    </w:p>
    <w:p>
      <w:pPr>
        <w:keepLines w:val="0"/>
      </w:pPr>
      <w:r>
        <w:rPr>
          <w:b/>
        </w:rPr>
        <w:t xml:space="preserve">Impact: </w:t>
      </w:r>
      <w:r>
        <w:t>High. Precise context ratios and claims of a selected global mechanism are not justified.</w:t>
      </w:r>
    </w:p>
    <w:p>
      <w:pPr>
        <w:keepLines w:val="0"/>
      </w:pPr>
      <w:r>
        <w:rPr>
          <w:b/>
        </w:rPr>
        <w:t xml:space="preserve">Acceptance criterion: </w:t>
      </w:r>
      <w:r>
        <w:t>A broader in vivo-by-in vitro start matrix or equivalent sensitivity analysis is completed; local failure is diagnosed; conclusions are reported as stable derived-function directions with basin-dependent ranges.</w:t>
      </w:r>
    </w:p>
    <w:p>
      <w:pPr>
        <w:pStyle w:val="Heading1"/>
      </w:pPr>
      <w:r>
        <w:t>Major Comment 4: Practical identifiability and bound sensitivity are not quantified</w:t>
      </w:r>
    </w:p>
    <w:p>
      <w:pPr>
        <w:keepLines w:val="0"/>
      </w:pPr>
      <w:r>
        <w:rPr>
          <w:b/>
        </w:rPr>
        <w:t xml:space="preserve">Review comment: </w:t>
      </w:r>
      <w:r>
        <w:t>Perform likelihood-based or equivalent practical-identifiability analysis for headline parameters and derived biological functions.</w:t>
      </w:r>
    </w:p>
    <w:p>
      <w:pPr>
        <w:keepLines w:val="0"/>
      </w:pPr>
      <w:r>
        <w:rPr>
          <w:b/>
        </w:rPr>
        <w:t xml:space="preserve">Manuscript basis: </w:t>
      </w:r>
      <w:r>
        <w:t>Repository text interprets several individual fitted parameters as biological axes but does not report formal identifiability, likelihood profiles, bound sensitivity, or uncertainty intervals. Figure 4/6 acknowledge multiple parameter regimes but do not resolve parameter determination.</w:t>
      </w:r>
    </w:p>
    <w:p>
      <w:pPr>
        <w:keepLines w:val="0"/>
      </w:pPr>
      <w:r>
        <w:rPr>
          <w:b/>
        </w:rPr>
        <w:t xml:space="preserve">Result/code evidence: </w:t>
      </w:r>
      <w:r>
        <w:t>The top-ten separate in vivo objectives span only 14.1193-14.1748 while multiple parameters vary widely; sigma_burden is at its upper bound in all ten. Joint context values also hit bounds, and multiple soft dimensions are saturated. See `analysis/independent_parameter_values_long.csv`, `analysis/independent_parameter_boundary_hits.csv`, and `analysis/joint_soft_coupling_parameter_summary.csv`.</w:t>
      </w:r>
    </w:p>
    <w:p>
      <w:pPr>
        <w:keepLines w:val="0"/>
      </w:pPr>
      <w:r>
        <w:rPr>
          <w:b/>
        </w:rPr>
        <w:t xml:space="preserve">Why this is a concern: </w:t>
      </w:r>
      <w:r>
        <w:t>Near-equivalent objective values across broad parameter ranges mean the data may constrain combinations/functions rather than individual parameters. Bound-limited estimates can create apparent precision and distort context ratios.</w:t>
      </w:r>
    </w:p>
    <w:p>
      <w:pPr>
        <w:keepLines w:val="0"/>
      </w:pPr>
      <w:r>
        <w:rPr>
          <w:b/>
        </w:rPr>
        <w:t xml:space="preserve">External methodological basis: </w:t>
      </w:r>
      <w:r>
        <w:t>Raue et al. define practical non-identifiability as arising from the amount and quality of data, distinguish it from structural non-identifiability, and propose profile likelihood to detect flat directions and derive likelihood-based intervals. Relevant locations: Abstract; Sections 2.2, 2.3, and 6. Bioinformatics 2009; doi:10.1093/bioinformatics/btp358.</w:t>
      </w:r>
    </w:p>
    <w:p>
      <w:pPr>
        <w:keepLines w:val="0"/>
      </w:pPr>
      <w:r>
        <w:rPr>
          <w:b/>
        </w:rPr>
        <w:t xml:space="preserve">Verification level: </w:t>
      </w:r>
      <w:r>
        <w:t>Verified diagnostic pattern; formal identifiability analysis has not been supplied.</w:t>
      </w:r>
    </w:p>
    <w:p>
      <w:pPr>
        <w:keepLines w:val="0"/>
      </w:pPr>
      <w:r>
        <w:rPr>
          <w:b/>
        </w:rPr>
        <w:t xml:space="preserve">Impact: </w:t>
      </w:r>
      <w:r>
        <w:t>High. Parameter-level biological interpretations and exact fold changes may not be uniquely supported.</w:t>
      </w:r>
    </w:p>
    <w:p>
      <w:pPr>
        <w:keepLines w:val="0"/>
      </w:pPr>
      <w:r>
        <w:rPr>
          <w:b/>
        </w:rPr>
        <w:t xml:space="preserve">Acceptance criterion: </w:t>
      </w:r>
      <w:r>
        <w:t>Profiles/bootstrap/envelopes are supplied for headline parameters and derived lambda, p_mis, and survival functions; bounded versus unbounded directions and function-level intervals are reported.</w:t>
      </w:r>
    </w:p>
    <w:p>
      <w:pPr>
        <w:pStyle w:val="Heading1"/>
      </w:pPr>
      <w:r>
        <w:t>Major Comment 5: Most fixed-O2 response curves and all six warm-start representatives lack strong spectral reliability</w:t>
      </w:r>
    </w:p>
    <w:p>
      <w:pPr>
        <w:keepLines w:val="0"/>
      </w:pPr>
      <w:r>
        <w:rPr>
          <w:b/>
        </w:rPr>
        <w:t xml:space="preserve">Review comment: </w:t>
      </w:r>
      <w:r>
        <w:t>Make spectral-gap reliability a primary part of Figure 6 and the joint-selection interpretation.</w:t>
      </w:r>
    </w:p>
    <w:p>
      <w:pPr>
        <w:keepLines w:val="0"/>
      </w:pPr>
      <w:r>
        <w:rPr>
          <w:b/>
        </w:rPr>
        <w:t xml:space="preserve">Manuscript basis: </w:t>
      </w:r>
      <w:r>
        <w:t>Repository Figure 6 and Results emphasize multiple response classes and objective overlap, but the main narrative does not report that only a minority of curves are reliable or that no selected warm start is reliable.</w:t>
      </w:r>
    </w:p>
    <w:p>
      <w:pPr>
        <w:keepLines w:val="0"/>
      </w:pPr>
      <w:r>
        <w:rPr>
          <w:b/>
        </w:rPr>
        <w:t xml:space="preserve">Result/code evidence: </w:t>
      </w:r>
      <w:r>
        <w:t>`joint_pre.zip` supplies 500 seeds x 201 O2 values. Reliability counts are 141 reliable, 168 caution, and 191 unreliable. Warm starts 25, 311, 322 are caution; 138, 290, 366 are unreliable. See `analysis/fixed_o2_reliability_counts.csv` and `analysis/joint_warm_start_fixed_o2_crosswalk.csv`.</w:t>
      </w:r>
    </w:p>
    <w:p>
      <w:pPr>
        <w:keepLines w:val="0"/>
      </w:pPr>
      <w:r>
        <w:rPr>
          <w:b/>
        </w:rPr>
        <w:t xml:space="preserve">Why this is a concern: </w:t>
      </w:r>
      <w:r>
        <w:t>The dominant eigenvector is an asymptotic descriptor. A small first-to-second eigenvalue gap implies slow separation and sensitivity of the claimed long-run composition; raw shape labels can then overstate mechanistic stability.</w:t>
      </w:r>
    </w:p>
    <w:p>
      <w:pPr>
        <w:keepLines w:val="0"/>
      </w:pPr>
      <w:r>
        <w:rPr>
          <w:b/>
        </w:rPr>
        <w:t xml:space="preserve">External methodological basis: </w:t>
      </w:r>
      <w:r>
        <w:t>The reliability concern follows directly from the model’s reported spectral-gap definition; no outside biological premise is required.</w:t>
      </w:r>
    </w:p>
    <w:p>
      <w:pPr>
        <w:keepLines w:val="0"/>
      </w:pPr>
      <w:r>
        <w:rPr>
          <w:b/>
        </w:rPr>
        <w:t xml:space="preserve">Verification level: </w:t>
      </w:r>
      <w:r>
        <w:t>Verified from all 100,500 supplied attractor rows and per-seed classifications.</w:t>
      </w:r>
    </w:p>
    <w:p>
      <w:pPr>
        <w:keepLines w:val="0"/>
      </w:pPr>
      <w:r>
        <w:rPr>
          <w:b/>
        </w:rPr>
        <w:t xml:space="preserve">Impact: </w:t>
      </w:r>
      <w:r>
        <w:t>High. It weakens claims that the fitted solution set defines stable long-term oxygen-ploidy regimes and directly affects the representativeness of the joint starts.</w:t>
      </w:r>
    </w:p>
    <w:p>
      <w:pPr>
        <w:keepLines w:val="0"/>
      </w:pPr>
      <w:r>
        <w:rPr>
          <w:b/>
        </w:rPr>
        <w:t xml:space="preserve">Acceptance criterion: </w:t>
      </w:r>
      <w:r>
        <w:t>Figure 6 stratifies or annotates reliability; all class counts are cross-tabulated with reliability; warm-start statuses are disclosed; finite-time or threshold sensitivity is provided.</w:t>
      </w:r>
    </w:p>
    <w:p>
      <w:pPr>
        <w:pStyle w:val="Heading1"/>
      </w:pPr>
      <w:r>
        <w:t>Major Comment 6: The Figure 6 objective overlay is not the fitted MAP objective</w:t>
      </w:r>
    </w:p>
    <w:p>
      <w:pPr>
        <w:keepLines w:val="0"/>
      </w:pPr>
      <w:r>
        <w:rPr>
          <w:b/>
        </w:rPr>
        <w:t xml:space="preserve">Review comment: </w:t>
      </w:r>
      <w:r>
        <w:t>Recompute the selection diagnostic using the full MAP objective or label it explicitly as raw burden-plus-ploidy likelihood.</w:t>
      </w:r>
    </w:p>
    <w:p>
      <w:pPr>
        <w:keepLines w:val="0"/>
      </w:pPr>
      <w:r>
        <w:rPr>
          <w:b/>
        </w:rPr>
        <w:t xml:space="preserve">Manuscript basis: </w:t>
      </w:r>
      <w:r>
        <w:t>Repository Figure 6D caption describes objective distributions and lowest-objective fits without distinguishing the objective field selected by the fixed-O2 preprocessing pipeline from the actual separate-fit MAP objective.</w:t>
      </w:r>
    </w:p>
    <w:p>
      <w:pPr>
        <w:keepLines w:val="0"/>
      </w:pPr>
      <w:r>
        <w:rPr>
          <w:b/>
        </w:rPr>
        <w:t xml:space="preserve">Result/code evidence: </w:t>
      </w:r>
      <w:r>
        <w:t>For all 500 seeds, the fixed-O2 by-seed table records objective_source = raw_likelihood. The selected value is the raw burden-plus-ploidy likelihood. Its Spearman correlation with separate MAP is 0.429; objective_data versus MAP is 0.915. See `analysis/fixed_o2_objective_definition_audit.csv` and `analysis/fixed_o2_objective_spearman_correlations.csv`.</w:t>
      </w:r>
    </w:p>
    <w:p>
      <w:pPr>
        <w:keepLines w:val="0"/>
      </w:pPr>
      <w:r>
        <w:rPr>
          <w:b/>
        </w:rPr>
        <w:t xml:space="preserve">Why this is a concern: </w:t>
      </w:r>
      <w:r>
        <w:t>Different objective definitions can reorder seeds and classes. A lowest-decile overlay based on one score cannot be described as a MAP-quality subset based on another score.</w:t>
      </w:r>
    </w:p>
    <w:p>
      <w:pPr>
        <w:keepLines w:val="0"/>
      </w:pPr>
      <w:r>
        <w:rPr>
          <w:b/>
        </w:rPr>
        <w:t xml:space="preserve">External methodological basis: </w:t>
      </w:r>
      <w:r>
        <w:t>No external reference is needed; this is a direct metric-definition mismatch.</w:t>
      </w:r>
    </w:p>
    <w:p>
      <w:pPr>
        <w:keepLines w:val="0"/>
      </w:pPr>
      <w:r>
        <w:rPr>
          <w:b/>
        </w:rPr>
        <w:t xml:space="preserve">Verification level: </w:t>
      </w:r>
      <w:r>
        <w:t>Verified for all 500 fixed-O2 seed records.</w:t>
      </w:r>
    </w:p>
    <w:p>
      <w:pPr>
        <w:keepLines w:val="0"/>
      </w:pPr>
      <w:r>
        <w:rPr>
          <w:b/>
        </w:rPr>
        <w:t xml:space="preserve">Impact: </w:t>
      </w:r>
      <w:r>
        <w:t>High for Figure 6 interpretation. The current overlay cannot select a preferred MAP response class.</w:t>
      </w:r>
    </w:p>
    <w:p>
      <w:pPr>
        <w:keepLines w:val="0"/>
      </w:pPr>
      <w:r>
        <w:rPr>
          <w:b/>
        </w:rPr>
        <w:t xml:space="preserve">Acceptance criterion: </w:t>
      </w:r>
      <w:r>
        <w:t>The panel uses an explicitly reconstructed MAP objective or is consistently labeled raw likelihood; the exact formula and seed-level crosswalk are released.</w:t>
      </w:r>
    </w:p>
    <w:p>
      <w:pPr>
        <w:pStyle w:val="Heading1"/>
      </w:pPr>
      <w:r>
        <w:t>Major Comment 7: Necrosis export is broken and the draft equation differs from the implemented objective by a factor of two</w:t>
      </w:r>
    </w:p>
    <w:p>
      <w:pPr>
        <w:keepLines w:val="0"/>
      </w:pPr>
      <w:r>
        <w:rPr>
          <w:b/>
        </w:rPr>
        <w:t xml:space="preserve">Review comment: </w:t>
      </w:r>
      <w:r>
        <w:t>Repair the per-sample necrosis export and use one identical loss definition in code, reports, and manuscript.</w:t>
      </w:r>
    </w:p>
    <w:p>
      <w:pPr>
        <w:keepLines w:val="0"/>
      </w:pPr>
      <w:r>
        <w:rPr>
          <w:b/>
        </w:rPr>
        <w:t xml:space="preserve">Manuscript basis: </w:t>
      </w:r>
      <w:r>
        <w:t>Repository Supplementary Methods defines terminal necrosis loss with a one-half multiplier. The main text treats necrosis as an active calibration stream but does not reveal the export failure.</w:t>
      </w:r>
    </w:p>
    <w:p>
      <w:pPr>
        <w:keepLines w:val="0"/>
      </w:pPr>
      <w:r>
        <w:rPr>
          <w:b/>
        </w:rPr>
        <w:t xml:space="preserve">Result/code evidence: </w:t>
      </w:r>
      <w:r>
        <w:t>All inspected `necrosis_fit.tsv` files contain observed values but missing predicted fields. The predicted terminal fraction can be reconstructed from `burden_fit.tsv`. The mean standardized squared clipped-logit residual without 1/2 exactly matches the reported objective (0.631-1.118 across the separate top ten); the half-scaled calculation is exactly half. See `analysis/invivo_top10_fit_quality.csv` and `analysis_tables/invivo_necrosis_reconstruction.csv`.</w:t>
      </w:r>
    </w:p>
    <w:p>
      <w:pPr>
        <w:keepLines w:val="0"/>
      </w:pPr>
      <w:r>
        <w:rPr>
          <w:b/>
        </w:rPr>
        <w:t xml:space="preserve">Why this is a concern: </w:t>
      </w:r>
      <w:r>
        <w:t>A result cannot be independently audited when the standard per-sample export is incomplete. The factor-of-two difference also changes the effective objective weight relative to other terms.</w:t>
      </w:r>
    </w:p>
    <w:p>
      <w:pPr>
        <w:keepLines w:val="0"/>
      </w:pPr>
      <w:r>
        <w:rPr>
          <w:b/>
        </w:rPr>
        <w:t xml:space="preserve">External methodological basis: </w:t>
      </w:r>
      <w:r>
        <w:t>No external reference is needed; the result follows from exact objective reconstruction.</w:t>
      </w:r>
    </w:p>
    <w:p>
      <w:pPr>
        <w:keepLines w:val="0"/>
      </w:pPr>
      <w:r>
        <w:rPr>
          <w:b/>
        </w:rPr>
        <w:t xml:space="preserve">Verification level: </w:t>
      </w:r>
      <w:r>
        <w:t>Verified across 10 separate in vivo and 60 joint selected outputs.</w:t>
      </w:r>
    </w:p>
    <w:p>
      <w:pPr>
        <w:keepLines w:val="0"/>
      </w:pPr>
      <w:r>
        <w:rPr>
          <w:b/>
        </w:rPr>
        <w:t xml:space="preserve">Impact: </w:t>
      </w:r>
      <w:r>
        <w:t>High. It affects method accuracy, component weighting, reporting, and reproducibility.</w:t>
      </w:r>
    </w:p>
    <w:p>
      <w:pPr>
        <w:keepLines w:val="0"/>
      </w:pPr>
      <w:r>
        <w:rPr>
          <w:b/>
        </w:rPr>
        <w:t xml:space="preserve">Acceptance criterion: </w:t>
      </w:r>
      <w:r>
        <w:t>Export contains predicted fraction and contribution for every sample; automated reconstruction equals fit_summary; equation and code use the same normalization.</w:t>
      </w:r>
    </w:p>
    <w:p>
      <w:pPr>
        <w:pStyle w:val="Heading1"/>
      </w:pPr>
      <w:r>
        <w:t>Major Comment 8: The 2N in vitro trajectory and individual in vivo fit are overstated</w:t>
      </w:r>
    </w:p>
    <w:p>
      <w:pPr>
        <w:keepLines w:val="0"/>
      </w:pPr>
      <w:r>
        <w:rPr>
          <w:b/>
        </w:rPr>
        <w:t xml:space="preserve">Review comment: </w:t>
      </w:r>
      <w:r>
        <w:t>Revise trajectory language to match the mixed distribution and disclose the lineage/cohort-level nature of the predictions.</w:t>
      </w:r>
    </w:p>
    <w:p>
      <w:pPr>
        <w:keepLines w:val="0"/>
      </w:pPr>
      <w:r>
        <w:rPr>
          <w:b/>
        </w:rPr>
        <w:t xml:space="preserve">Manuscript basis: </w:t>
      </w:r>
      <w:r>
        <w:t>Repository in vitro Results describe a transient high-ploidy expansion followed by lower-ploidy reshaping. Repository in vivo language can be read as fitting individual tumor trajectories, although the model shares predictions within cohort/harvest structure.</w:t>
      </w:r>
    </w:p>
    <w:p>
      <w:pPr>
        <w:keepLines w:val="0"/>
      </w:pPr>
      <w:r>
        <w:rPr>
          <w:b/>
        </w:rPr>
        <w:t xml:space="preserve">Result/code evidence: </w:t>
      </w:r>
      <w:r>
        <w:t>Late 2N deprived observations have means 66.85 and 88.05, but selected predictions are shared at 63.72-64.40. In vivo tumors with the same starting cohort and harvest day receive the same model trajectory because harvest_init_multiplier is false and no mouse-specific latent environment is fitted. Absolute fit-quality metrics include log burden RMSE 0.663-0.680 and terminal distribution TV 0.681-0.714.</w:t>
      </w:r>
    </w:p>
    <w:p>
      <w:pPr>
        <w:keepLines w:val="0"/>
      </w:pPr>
      <w:r>
        <w:rPr>
          <w:b/>
        </w:rPr>
        <w:t xml:space="preserve">Why this is a concern: </w:t>
      </w:r>
      <w:r>
        <w:t>A model can generate a high-chromosome component without showing an overall return of the population mean. Shared cohort predictions cannot explain individual heterogeneity even if the total objective is acceptable.</w:t>
      </w:r>
    </w:p>
    <w:p>
      <w:pPr>
        <w:keepLines w:val="0"/>
      </w:pPr>
      <w:r>
        <w:rPr>
          <w:b/>
        </w:rPr>
        <w:t xml:space="preserve">External methodological basis: </w:t>
      </w:r>
      <w:r>
        <w:t>No external premise is required; these are direct model-structure and prediction-table observations.</w:t>
      </w:r>
    </w:p>
    <w:p>
      <w:pPr>
        <w:keepLines w:val="0"/>
      </w:pPr>
      <w:r>
        <w:rPr>
          <w:b/>
        </w:rPr>
        <w:t xml:space="preserve">Verification level: </w:t>
      </w:r>
      <w:r>
        <w:t>Verified across selected in vitro/in vivo outputs and config.</w:t>
      </w:r>
    </w:p>
    <w:p>
      <w:pPr>
        <w:keepLines w:val="0"/>
      </w:pPr>
      <w:r>
        <w:rPr>
          <w:b/>
        </w:rPr>
        <w:t xml:space="preserve">Impact: </w:t>
      </w:r>
      <w:r>
        <w:t>Medium-High. It affects the scope of biological claims and the perceived quality of fit.</w:t>
      </w:r>
    </w:p>
    <w:p>
      <w:pPr>
        <w:keepLines w:val="0"/>
      </w:pPr>
      <w:r>
        <w:rPr>
          <w:b/>
        </w:rPr>
        <w:t xml:space="preserve">Acceptance criterion: </w:t>
      </w:r>
      <w:r>
        <w:t>Results distinguish distribution components from mean trajectory, show late branch residuals, report absolute fit metrics, and define the model as cohort/lineage-level.</w:t>
      </w:r>
    </w:p>
    <w:p>
      <w:pPr>
        <w:pStyle w:val="Heading1"/>
      </w:pPr>
      <w:r>
        <w:t>Major Comment 9: CIN-associated loss conflates biological nonviability with numerical boundary routing</w:t>
      </w:r>
    </w:p>
    <w:p>
      <w:pPr>
        <w:keepLines w:val="0"/>
      </w:pPr>
      <w:r>
        <w:rPr>
          <w:b/>
        </w:rPr>
        <w:t xml:space="preserve">Review comment: </w:t>
      </w:r>
      <w:r>
        <w:t>Separate the components and perform chromosome-grid sensitivity before interpreting the magnitude biologically.</w:t>
      </w:r>
    </w:p>
    <w:p>
      <w:pPr>
        <w:keepLines w:val="0"/>
      </w:pPr>
      <w:r>
        <w:rPr>
          <w:b/>
        </w:rPr>
        <w:t xml:space="preserve">Manuscript basis: </w:t>
      </w:r>
      <w:r>
        <w:t>Repository model definitions route nonviable daughters and out-of-grid daughter/WGD mass to the same CIN-associated dead pool. The in vitro narrative uses this pool to support altered-daughter filtering.</w:t>
      </w:r>
    </w:p>
    <w:p>
      <w:pPr>
        <w:keepLines w:val="0"/>
      </w:pPr>
      <w:r>
        <w:rPr>
          <w:b/>
        </w:rPr>
        <w:t xml:space="preserve">Result/code evidence: </w:t>
      </w:r>
      <w:r>
        <w:t>The retained grid is N=22-154. Model code and manuscript equations route out-of-domain mass to CIN-dead. Selected in vitro fits show max CIN-dead 32.15-33.40% versus direct hypoxia-dead 1.74-1.82%, making component semantics consequential.</w:t>
      </w:r>
    </w:p>
    <w:p>
      <w:pPr>
        <w:keepLines w:val="0"/>
      </w:pPr>
      <w:r>
        <w:rPr>
          <w:b/>
        </w:rPr>
        <w:t xml:space="preserve">Why this is a concern: </w:t>
      </w:r>
      <w:r>
        <w:t>Numerical truncation can inflate a compartment that is subsequently interpreted as biological lethality. The effect may be strongest near high chromosome states and WGD boundaries.</w:t>
      </w:r>
    </w:p>
    <w:p>
      <w:pPr>
        <w:keepLines w:val="0"/>
      </w:pPr>
      <w:r>
        <w:rPr>
          <w:b/>
        </w:rPr>
        <w:t xml:space="preserve">External methodological basis: </w:t>
      </w:r>
      <w:r>
        <w:t>No external reference is required; it is a direct consequence of the finite-state implementation.</w:t>
      </w:r>
    </w:p>
    <w:p>
      <w:pPr>
        <w:keepLines w:val="0"/>
      </w:pPr>
      <w:r>
        <w:rPr>
          <w:b/>
        </w:rPr>
        <w:t xml:space="preserve">Verification level: </w:t>
      </w:r>
      <w:r>
        <w:t>Verified from model semantics and selected outputs; grid sensitivity has not been supplied.</w:t>
      </w:r>
    </w:p>
    <w:p>
      <w:pPr>
        <w:keepLines w:val="0"/>
      </w:pPr>
      <w:r>
        <w:rPr>
          <w:b/>
        </w:rPr>
        <w:t xml:space="preserve">Impact: </w:t>
      </w:r>
      <w:r>
        <w:t>Medium-High. It affects the key mechanistic claim about how high-ploidy populations are filtered.</w:t>
      </w:r>
    </w:p>
    <w:p>
      <w:pPr>
        <w:keepLines w:val="0"/>
      </w:pPr>
      <w:r>
        <w:rPr>
          <w:b/>
        </w:rPr>
        <w:t xml:space="preserve">Acceptance criterion: </w:t>
      </w:r>
      <w:r>
        <w:t>Missegregation nonviability and boundary-dropped mass are separately exported and plotted; principal conclusions are stable under expanded grids.</w:t>
      </w:r>
    </w:p>
    <w:p>
      <w:pPr>
        <w:pStyle w:val="Heading1"/>
      </w:pPr>
      <w:r>
        <w:t>Major Comment 10: Figure-level reproducibility and provenance are incomplete</w:t>
      </w:r>
    </w:p>
    <w:p>
      <w:pPr>
        <w:keepLines w:val="0"/>
      </w:pPr>
      <w:r>
        <w:rPr>
          <w:b/>
        </w:rPr>
        <w:t xml:space="preserve">Review comment: </w:t>
      </w:r>
      <w:r>
        <w:t>Release a clean, executable figure-to-result package with all intermediate tables and exact code state.</w:t>
      </w:r>
    </w:p>
    <w:p>
      <w:pPr>
        <w:keepLines w:val="0"/>
      </w:pPr>
      <w:r>
        <w:rPr>
          <w:b/>
        </w:rPr>
        <w:t xml:space="preserve">Manuscript basis: </w:t>
      </w:r>
      <w:r>
        <w:t>The repository manuscript references Figures 4-6 and extensive numerical results but does not provide a complete Data/Code Availability and figure-source map. The draft includes unresolved placeholders for dataset/provenance citations.</w:t>
      </w:r>
    </w:p>
    <w:p>
      <w:pPr>
        <w:keepLines w:val="0"/>
      </w:pPr>
      <w:r>
        <w:rPr>
          <w:b/>
        </w:rPr>
        <w:t xml:space="preserve">Result/code evidence: </w:t>
      </w:r>
      <w:r>
        <w:t>Selected in vivo runs record commit 54c5d500... with dirty worktrees; selected joint runs record 3d498599... with dirty worktrees; selected in vitro seed directories lack equivalent provenance files. Full fixed-O2/classification tables are available in joint_pre, but no definitive seed-level Figure 4 AUC table was found.</w:t>
      </w:r>
    </w:p>
    <w:p>
      <w:pPr>
        <w:keepLines w:val="0"/>
      </w:pPr>
      <w:r>
        <w:rPr>
          <w:b/>
        </w:rPr>
        <w:t xml:space="preserve">Why this is a concern: </w:t>
      </w:r>
      <w:r>
        <w:t>For a code-sensitive mechanistic model, a commit alone cannot reproduce a dirty run, and a figure without its intermediate table cannot be independently checked.</w:t>
      </w:r>
    </w:p>
    <w:p>
      <w:pPr>
        <w:keepLines w:val="0"/>
      </w:pPr>
      <w:r>
        <w:rPr>
          <w:b/>
        </w:rPr>
        <w:t xml:space="preserve">External methodological basis: </w:t>
      </w:r>
      <w:r>
        <w:t>Sandve et al. Rules 1, 4, 8, and 10 require tracking the workflow behind every result, versioning custom code, retaining detail underlying summaries, and providing access to scripts/runs/results (PLOS Comput Biol 2013; doi:10.1371/journal.pcbi.1003285). Wilkinson et al. state that FAIR applies to algorithms, tools, and workflows and specify detailed provenance under R1.2 (Scientific Data 2016; Box 2; doi:10.1038/sdata.2016.18).</w:t>
      </w:r>
    </w:p>
    <w:p>
      <w:pPr>
        <w:keepLines w:val="0"/>
      </w:pPr>
      <w:r>
        <w:rPr>
          <w:b/>
        </w:rPr>
        <w:t xml:space="preserve">Verification level: </w:t>
      </w:r>
      <w:r>
        <w:t>Verified from supplied provenance files and archive inventory.</w:t>
      </w:r>
    </w:p>
    <w:p>
      <w:pPr>
        <w:keepLines w:val="0"/>
      </w:pPr>
      <w:r>
        <w:rPr>
          <w:b/>
        </w:rPr>
        <w:t xml:space="preserve">Impact: </w:t>
      </w:r>
      <w:r>
        <w:t>High for publication auditability and long-term reuse.</w:t>
      </w:r>
    </w:p>
    <w:p>
      <w:pPr>
        <w:keepLines w:val="0"/>
      </w:pPr>
      <w:r>
        <w:rPr>
          <w:b/>
        </w:rPr>
        <w:t xml:space="preserve">Acceptance criterion: </w:t>
      </w:r>
      <w:r>
        <w:t>Clean tag or archived patch, resolved config, parameter tables, environment/container, all seed IDs, checksums, full intermediate tables including AUC, and an executable figure-generation manifest are released.</w:t>
      </w:r>
    </w:p>
    <w:p>
      <w:pPr>
        <w:pStyle w:val="Heading1"/>
      </w:pPr>
      <w:r>
        <w:t>Methodological References</w:t>
      </w:r>
    </w:p>
    <w:p>
      <w:r>
        <w:t>Raue A, Kreutz C, Maiwald T, et al. Structural and practical identifiability analysis of partially observed dynamical models by exploiting the profile likelihood. Bioinformatics. 2009;25(15):1923-1929. doi:10.1093/bioinformatics/btp358. Specific support used here: Abstract; Sections 2.2, 2.3, and 6.</w:t>
      </w:r>
    </w:p>
    <w:p>
      <w:r>
        <w:t>Wattenberg M, Viégas F, Johnson I. How to Use t-SNE Effectively. Distill. 2016. doi:10.23915/distill.00002. Specific support used here: Sections 1, 2, and 3 on hyperparameter dependence, cluster size, and inter-cluster distance.</w:t>
      </w:r>
    </w:p>
    <w:p>
      <w:r>
        <w:t>Sandve GK, Nekrutenko A, Taylor J, Hovig E. Ten Simple Rules for Reproducible Computational Research. PLoS Comput Biol. 2013;9(10):e1003285. doi:10.1371/journal.pcbi.1003285. Specific support used here: Rules 1, 4, 8, and 10.</w:t>
      </w:r>
    </w:p>
    <w:p>
      <w:r>
        <w:t>Wilkinson MD, Dumontier M, Aalbersberg IJJ, et al. The FAIR Guiding Principles for scientific data management and stewardship. Sci Data. 2016;3:160018. doi:10.1038/sdata.2016.18. Specific support used here: applicability to algorithms/tools/workflows and Box 2, principle R1.2.</w:t>
      </w:r>
    </w:p>
    <w:sectPr w:rsidR="00FC693F" w:rsidRPr="0006063C" w:rsidSect="00034616">
      <w:footerReference w:type="default" r:id="rId9"/>
      <w:pgSz w:w="12240" w:h="15840"/>
      <w:pgMar w:top="1080" w:right="1224" w:bottom="1080" w:left="1224"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rial" w:hAnsi="Arial" w:eastAsia="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eastAsia="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Arial" w:hAnsi="Arial" w:eastAsia="Arial"/>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