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b/>
          <w:color w:val="1F4E79"/>
          <w:sz w:val="36"/>
        </w:rPr>
        <w:t>Major Comment Evidence Crosswalk</w:t>
      </w:r>
    </w:p>
    <w:p>
      <w:pPr>
        <w:pStyle w:val="Subtitle"/>
        <w:jc w:val="center"/>
      </w:pPr>
      <w:r>
        <w:rPr>
          <w:rFonts w:ascii="Arial" w:hAnsi="Arial" w:eastAsia="Arial"/>
          <w:color w:val="505050"/>
          <w:sz w:val="21"/>
        </w:rPr>
        <w:t>Detailed traceability for the revised-manuscript review</w:t>
      </w:r>
    </w:p>
    <w:p/>
    <w:p>
      <w:pPr>
        <w:spacing w:after="40"/>
      </w:pPr>
      <w:r>
        <w:rPr>
          <w:rFonts w:ascii="Arial" w:hAnsi="Arial" w:eastAsia="Arial"/>
          <w:b/>
          <w:sz w:val="21"/>
        </w:rPr>
        <w:t xml:space="preserve">Manuscript: </w:t>
      </w:r>
      <w:r>
        <w:rPr>
          <w:rFonts w:ascii="Arial" w:hAnsi="Arial" w:eastAsia="Arial"/>
          <w:sz w:val="21"/>
        </w:rPr>
        <w:t>A resource-stress model identifies context-dependent regimes of chromosome instability and ploidy evolution in matched SUM159 culture and tumor models</w:t>
      </w:r>
    </w:p>
    <w:p>
      <w:pPr>
        <w:spacing w:after="40"/>
      </w:pPr>
      <w:r>
        <w:rPr>
          <w:rFonts w:ascii="Arial" w:hAnsi="Arial" w:eastAsia="Arial"/>
          <w:b/>
          <w:sz w:val="21"/>
        </w:rPr>
        <w:t xml:space="preserve">Review stage: </w:t>
      </w:r>
      <w:r>
        <w:rPr>
          <w:rFonts w:ascii="Arial" w:hAnsi="Arial" w:eastAsia="Arial"/>
          <w:sz w:val="21"/>
        </w:rPr>
        <w:t>Independent review of the revised manuscript</w:t>
      </w:r>
    </w:p>
    <w:p>
      <w:pPr>
        <w:spacing w:after="40"/>
      </w:pPr>
      <w:r>
        <w:rPr>
          <w:rFonts w:ascii="Arial" w:hAnsi="Arial" w:eastAsia="Arial"/>
          <w:b/>
          <w:sz w:val="21"/>
        </w:rPr>
        <w:t xml:space="preserve">Materials reviewed: </w:t>
      </w:r>
      <w:r>
        <w:rPr>
          <w:rFonts w:ascii="Arial" w:hAnsi="Arial" w:eastAsia="Arial"/>
          <w:sz w:val="21"/>
        </w:rPr>
        <w:t>Revised LaTeX manuscript, top10.zip, joint_pre.zip, and the HypoxiaLTEEFigures repository branch</w:t>
      </w:r>
    </w:p>
    <w:p>
      <w:pPr>
        <w:spacing w:after="40"/>
      </w:pPr>
      <w:r>
        <w:rPr>
          <w:rFonts w:ascii="Arial" w:hAnsi="Arial" w:eastAsia="Arial"/>
          <w:b/>
          <w:sz w:val="21"/>
        </w:rPr>
        <w:t xml:space="preserve">Review date: </w:t>
      </w:r>
      <w:r>
        <w:rPr>
          <w:rFonts w:ascii="Arial" w:hAnsi="Arial" w:eastAsia="Arial"/>
          <w:sz w:val="21"/>
        </w:rPr>
        <w:t>July 28, 2026</w:t>
      </w:r>
    </w:p>
    <w:p>
      <w:pPr>
        <w:pStyle w:val="Heading1"/>
      </w:pPr>
      <w:r>
        <w:t>Evidence Standard</w:t>
      </w:r>
    </w:p>
    <w:p>
      <w:r>
        <w:rPr>
          <w:rFonts w:ascii="Arial" w:hAnsi="Arial" w:eastAsia="Arial"/>
          <w:i w:val="0"/>
          <w:sz w:val="21"/>
        </w:rPr>
        <w:t>Each major comment below is traced to the revised manuscript, the supplied results, and the repository implementation. "Confirmed" means that the concern was reproduced directly from the supplied files or code. "Partially confirmed" means that part of the statement is supported but the full population or exact source table was not available. "Not verifiable from the supplied package" means that the manuscript makes a broader claim than the reviewed archive permits the reviewer to audit. Archive paths are reported relative to the extracted top10.zip, joint_pre.zip, or the independent review-analysis directory.</w:t>
      </w:r>
    </w:p>
    <w:p>
      <w:pPr>
        <w:pStyle w:val="Heading1"/>
      </w:pPr>
      <w:r>
        <w:t>Major Comment 1: Establish what the joint model adds beyond two nearly independent component fits</w:t>
      </w:r>
    </w:p>
    <w:p>
      <w:pPr>
        <w:keepLines w:val="0"/>
      </w:pPr>
      <w:r>
        <w:rPr>
          <w:rFonts w:ascii="Arial" w:hAnsi="Arial" w:eastAsia="Arial"/>
          <w:b/>
          <w:sz w:val="21"/>
        </w:rPr>
        <w:t xml:space="preserve">Review comment: </w:t>
      </w:r>
      <w:r>
        <w:rPr>
          <w:rFonts w:ascii="Arial" w:hAnsi="Arial" w:eastAsia="Arial"/>
          <w:sz w:val="21"/>
        </w:rPr>
        <w:t>Compare the all-soft joint model with shared, uncoupled, partial-coupling, and predictive baselines before interpreting context differences as necessary mechanisms.</w:t>
      </w:r>
    </w:p>
    <w:p>
      <w:pPr>
        <w:keepLines w:val="0"/>
      </w:pPr>
      <w:r>
        <w:rPr>
          <w:rFonts w:ascii="Arial" w:hAnsi="Arial" w:eastAsia="Arial"/>
          <w:b/>
          <w:sz w:val="21"/>
        </w:rPr>
        <w:t xml:space="preserve">Manuscript basis: </w:t>
      </w:r>
      <w:r>
        <w:rPr>
          <w:rFonts w:ascii="Arial" w:hAnsi="Arial" w:eastAsia="Arial"/>
          <w:sz w:val="21"/>
        </w:rPr>
        <w:t>Main Methods, lines 78-81; Joint Results, lines 116-124; Supplementary joint objective and Welsch penalty, lines 857-906.</w:t>
      </w:r>
    </w:p>
    <w:p>
      <w:pPr>
        <w:keepLines w:val="0"/>
      </w:pPr>
      <w:r>
        <w:rPr>
          <w:rFonts w:ascii="Arial" w:hAnsi="Arial" w:eastAsia="Arial"/>
          <w:b/>
          <w:sz w:val="21"/>
        </w:rPr>
        <w:t xml:space="preserve">Result and code evidence: </w:t>
      </w:r>
      <w:r>
        <w:rPr>
          <w:rFonts w:ascii="Arial" w:hAnsi="Arial" w:eastAsia="Arial"/>
          <w:sz w:val="21"/>
        </w:rPr>
        <w:t>The six pair-level best total objectives are 18.852-19.978. The best separate in vivo and in vitro objectives sum to 17.9719. The best seed-366 pair has a data objective of 17.9849 plus a Welsch penalty of 0.8674; the best seed-25 pair has a data objective of 17.9681 plus a penalty of 1.0023. Across selected top-ten solutions, the total penalty occupies approximately 75.8-89.5% of the 14-parameter cap. All 14 overlapping mechanisms can diverge.</w:t>
      </w:r>
    </w:p>
    <w:p>
      <w:pPr>
        <w:keepLines w:val="0"/>
      </w:pPr>
      <w:r>
        <w:rPr>
          <w:rFonts w:ascii="Arial" w:hAnsi="Arial" w:eastAsia="Arial"/>
          <w:b/>
          <w:sz w:val="21"/>
        </w:rPr>
        <w:t xml:space="preserve">Evidence paths: </w:t>
      </w:r>
      <w:r>
        <w:rPr>
          <w:rFonts w:ascii="Arial" w:hAnsi="Arial" w:eastAsia="Arial"/>
          <w:sz w:val="21"/>
        </w:rPr>
      </w:r>
    </w:p>
    <w:p>
      <w:pPr>
        <w:pStyle w:val="EvidencePath"/>
      </w:pPr>
      <w:r>
        <w:rPr>
          <w:rFonts w:ascii="Courier New" w:hAnsi="Courier New" w:eastAsia="Courier New"/>
          <w:sz w:val="17"/>
        </w:rPr>
        <w:t>analysis/joint_selected60_fit_summary.csv</w:t>
      </w:r>
    </w:p>
    <w:p>
      <w:pPr>
        <w:pStyle w:val="EvidencePath"/>
      </w:pPr>
      <w:r>
        <w:rPr>
          <w:rFonts w:ascii="Courier New" w:hAnsi="Courier New" w:eastAsia="Courier New"/>
          <w:sz w:val="17"/>
        </w:rPr>
        <w:t>analysis/joint_pair_summary.csv</w:t>
      </w:r>
    </w:p>
    <w:p>
      <w:pPr>
        <w:pStyle w:val="EvidencePath"/>
      </w:pPr>
      <w:r>
        <w:rPr>
          <w:rFonts w:ascii="Courier New" w:hAnsi="Courier New" w:eastAsia="Courier New"/>
          <w:sz w:val="17"/>
        </w:rPr>
        <w:t>analysis/joint_soft_coupling_all60.csv</w:t>
      </w:r>
    </w:p>
    <w:p>
      <w:pPr>
        <w:pStyle w:val="EvidencePath"/>
      </w:pPr>
      <w:r>
        <w:rPr>
          <w:rFonts w:ascii="Courier New" w:hAnsi="Courier New" w:eastAsia="Courier New"/>
          <w:sz w:val="17"/>
        </w:rPr>
        <w:t>analysis/joint_soft_coupling_parameter_summary.csv</w:t>
      </w:r>
    </w:p>
    <w:p>
      <w:pPr>
        <w:pStyle w:val="EvidencePath"/>
      </w:pPr>
      <w:r>
        <w:rPr>
          <w:rFonts w:ascii="Courier New" w:hAnsi="Courier New" w:eastAsia="Courier New"/>
          <w:sz w:val="17"/>
        </w:rPr>
        <w:t>top10/fit_invivo_O2_buffering_500seed/seed25/fit_summary.tsv</w:t>
      </w:r>
    </w:p>
    <w:p>
      <w:pPr>
        <w:pStyle w:val="EvidencePath"/>
      </w:pPr>
      <w:r>
        <w:rPr>
          <w:rFonts w:ascii="Courier New" w:hAnsi="Courier New" w:eastAsia="Courier New"/>
          <w:sz w:val="17"/>
        </w:rPr>
        <w:t>top10/fit_invitro_O2_buffering_500seed/seed10/fit_summary.tsv</w:t>
      </w:r>
    </w:p>
    <w:p>
      <w:pPr>
        <w:keepLines w:val="0"/>
      </w:pPr>
      <w:r>
        <w:rPr>
          <w:rFonts w:ascii="Arial" w:hAnsi="Arial" w:eastAsia="Arial"/>
          <w:b/>
          <w:sz w:val="21"/>
        </w:rPr>
        <w:t xml:space="preserve">Why this is a concern: </w:t>
      </w:r>
      <w:r>
        <w:rPr>
          <w:rFonts w:ascii="Arial" w:hAnsi="Arial" w:eastAsia="Arial"/>
          <w:sz w:val="21"/>
        </w:rPr>
        <w:t>When all overlapping mechanisms are context-specific and the bounded penalty is nearly saturated, the joint model can approach two separate fits. Directional differences may be repeatable within the selected searches without being required by the data or superior to a simpler model. Equal weighting of differently normalized component objectives adds another untested modeling choice.</w:t>
      </w:r>
    </w:p>
    <w:p>
      <w:pPr>
        <w:keepLines w:val="0"/>
      </w:pPr>
      <w:r>
        <w:rPr>
          <w:rFonts w:ascii="Arial" w:hAnsi="Arial" w:eastAsia="Arial"/>
          <w:b/>
          <w:sz w:val="21"/>
        </w:rPr>
        <w:t xml:space="preserve">Verification level: </w:t>
      </w:r>
      <w:r>
        <w:rPr>
          <w:rFonts w:ascii="Arial" w:hAnsi="Arial" w:eastAsia="Arial"/>
          <w:sz w:val="21"/>
        </w:rPr>
        <w:t>Confirmed for the 60 detailed joint solutions and the best separate fits. No shared/null/partial model comparison or held-out predictive benchmark was supplied.</w:t>
      </w:r>
    </w:p>
    <w:p>
      <w:pPr>
        <w:keepLines w:val="0"/>
      </w:pPr>
      <w:r>
        <w:rPr>
          <w:rFonts w:ascii="Arial" w:hAnsi="Arial" w:eastAsia="Arial"/>
          <w:b/>
          <w:sz w:val="21"/>
        </w:rPr>
        <w:t xml:space="preserve">Impact: </w:t>
      </w:r>
      <w:r>
        <w:rPr>
          <w:rFonts w:ascii="Arial" w:hAnsi="Arial" w:eastAsia="Arial"/>
          <w:sz w:val="21"/>
        </w:rPr>
        <w:t>Critical for the central claim that joint fitting identifies context-dependent mechanisms rather than merely accommodating context-specific parameters.</w:t>
      </w:r>
    </w:p>
    <w:p>
      <w:pPr>
        <w:keepLines w:val="0"/>
      </w:pPr>
      <w:r>
        <w:rPr>
          <w:rFonts w:ascii="Arial" w:hAnsi="Arial" w:eastAsia="Arial"/>
          <w:b/>
          <w:sz w:val="21"/>
        </w:rPr>
        <w:t xml:space="preserve">Required revision and acceptance criterion: </w:t>
      </w:r>
      <w:r>
        <w:rPr>
          <w:rFonts w:ascii="Arial" w:hAnsi="Arial" w:eastAsia="Arial"/>
          <w:sz w:val="21"/>
        </w:rPr>
        <w:t>Provide prespecified fully shared, reported all-soft, fully uncoupled, and targeted partial-coupling/ablation fits; compare objective and predictive performance; show sensitivity to Welsch c, sigma, and component weights; and retain only context contrasts that add fit or predictive value relative to simpler alternatives.</w:t>
      </w:r>
    </w:p>
    <w:p>
      <w:pPr>
        <w:keepLines w:val="0"/>
      </w:pPr>
      <w:r>
        <w:rPr>
          <w:rFonts w:ascii="Arial" w:hAnsi="Arial" w:eastAsia="Arial"/>
          <w:b/>
          <w:sz w:val="21"/>
        </w:rPr>
        <w:t xml:space="preserve">External methodological basis: </w:t>
      </w:r>
      <w:r>
        <w:rPr>
          <w:rFonts w:ascii="Arial" w:hAnsi="Arial" w:eastAsia="Arial"/>
          <w:sz w:val="21"/>
        </w:rPr>
        <w:t>No external premise is required; this follows directly from the objective decomposition and bounded penalty. Standard model-comparison and predictive-validation principles apply.</w:t>
      </w:r>
    </w:p>
    <w:p>
      <w:pPr>
        <w:pStyle w:val="Heading1"/>
      </w:pPr>
      <w:r>
        <w:t>Major Comment 2: Broaden and validate the joint warm-start and optimization design</w:t>
      </w:r>
    </w:p>
    <w:p>
      <w:pPr>
        <w:keepLines w:val="0"/>
      </w:pPr>
      <w:r>
        <w:rPr>
          <w:rFonts w:ascii="Arial" w:hAnsi="Arial" w:eastAsia="Arial"/>
          <w:b/>
          <w:sz w:val="21"/>
        </w:rPr>
        <w:t xml:space="preserve">Review comment: </w:t>
      </w:r>
      <w:r>
        <w:rPr>
          <w:rFonts w:ascii="Arial" w:hAnsi="Arial" w:eastAsia="Arial"/>
          <w:sz w:val="21"/>
        </w:rPr>
        <w:t>Sample the in vitro landscape as well as the in vivo landscape and validate clustering/search stability outside the two-dimensional t-SNE map.</w:t>
      </w:r>
    </w:p>
    <w:p>
      <w:pPr>
        <w:keepLines w:val="0"/>
      </w:pPr>
      <w:r>
        <w:rPr>
          <w:rFonts w:ascii="Arial" w:hAnsi="Arial" w:eastAsia="Arial"/>
          <w:b/>
          <w:sz w:val="21"/>
        </w:rPr>
        <w:t xml:space="preserve">Manuscript basis: </w:t>
      </w:r>
      <w:r>
        <w:rPr>
          <w:rFonts w:ascii="Arial" w:hAnsi="Arial" w:eastAsia="Arial"/>
          <w:sz w:val="21"/>
        </w:rPr>
        <w:t>Joint Results, lines 116-124; Discussion, line 240; Supplementary warm-start and optimization sections, lines 911-933; pooled embedding/clustering, lines 952-955.</w:t>
      </w:r>
    </w:p>
    <w:p>
      <w:pPr>
        <w:keepLines w:val="0"/>
      </w:pPr>
      <w:r>
        <w:rPr>
          <w:rFonts w:ascii="Arial" w:hAnsi="Arial" w:eastAsia="Arial"/>
          <w:b/>
          <w:sz w:val="21"/>
        </w:rPr>
        <w:t xml:space="preserve">Result and code evidence: </w:t>
      </w:r>
      <w:r>
        <w:rPr>
          <w:rFonts w:ascii="Arial" w:hAnsi="Arial" w:eastAsia="Arial"/>
          <w:sz w:val="21"/>
        </w:rPr>
        <w:t>Six in vivo representatives (seeds 138, 25, 290, 311, 322, and 366) are each paired with the same in vitro seed 10. The selected in vivo within-primary-cluster subcluster silhouettes are 0.179, 0.096, and 0.330. Representatives are objective minima, not medoids. Pair best objectives vary from 18.852 to 19.978. The 60 detailed selected solutions all record local_attempted = TRUE and local_accepted = FALSE.</w:t>
      </w:r>
    </w:p>
    <w:p>
      <w:pPr>
        <w:keepLines w:val="0"/>
      </w:pPr>
      <w:r>
        <w:rPr>
          <w:rFonts w:ascii="Arial" w:hAnsi="Arial" w:eastAsia="Arial"/>
          <w:b/>
          <w:sz w:val="21"/>
        </w:rPr>
        <w:t xml:space="preserve">Evidence paths: </w:t>
      </w:r>
      <w:r>
        <w:rPr>
          <w:rFonts w:ascii="Arial" w:hAnsi="Arial" w:eastAsia="Arial"/>
          <w:sz w:val="21"/>
        </w:rPr>
      </w:r>
    </w:p>
    <w:p>
      <w:pPr>
        <w:pStyle w:val="EvidencePath"/>
      </w:pPr>
      <w:r>
        <w:rPr>
          <w:rFonts w:ascii="Courier New" w:hAnsi="Courier New" w:eastAsia="Courier New"/>
          <w:sz w:val="17"/>
        </w:rPr>
        <w:t>analysis/landscape_subcluster_silhouette.csv</w:t>
      </w:r>
    </w:p>
    <w:p>
      <w:pPr>
        <w:pStyle w:val="EvidencePath"/>
      </w:pPr>
      <w:r>
        <w:rPr>
          <w:rFonts w:ascii="Courier New" w:hAnsi="Courier New" w:eastAsia="Courier New"/>
          <w:sz w:val="17"/>
        </w:rPr>
        <w:t>analysis/landscape_subcluster_summary.csv</w:t>
      </w:r>
    </w:p>
    <w:p>
      <w:pPr>
        <w:pStyle w:val="EvidencePath"/>
      </w:pPr>
      <w:r>
        <w:rPr>
          <w:rFonts w:ascii="Courier New" w:hAnsi="Courier New" w:eastAsia="Courier New"/>
          <w:sz w:val="17"/>
        </w:rPr>
        <w:t>analysis/joint_warm_start_fixed_o2_crosswalk.csv</w:t>
      </w:r>
    </w:p>
    <w:p>
      <w:pPr>
        <w:pStyle w:val="EvidencePath"/>
      </w:pPr>
      <w:r>
        <w:rPr>
          <w:rFonts w:ascii="Courier New" w:hAnsi="Courier New" w:eastAsia="Courier New"/>
          <w:sz w:val="17"/>
        </w:rPr>
        <w:t>analysis/joint_pair_summary.csv</w:t>
      </w:r>
    </w:p>
    <w:p>
      <w:pPr>
        <w:pStyle w:val="EvidencePath"/>
      </w:pPr>
      <w:r>
        <w:rPr>
          <w:rFonts w:ascii="Courier New" w:hAnsi="Courier New" w:eastAsia="Courier New"/>
          <w:sz w:val="17"/>
        </w:rPr>
        <w:t>analysis/joint_selected60_fit_summary.csv</w:t>
      </w:r>
    </w:p>
    <w:p>
      <w:pPr>
        <w:pStyle w:val="EvidencePath"/>
      </w:pPr>
      <w:r>
        <w:rPr>
          <w:rFonts w:ascii="Courier New" w:hAnsi="Courier New" w:eastAsia="Courier New"/>
          <w:sz w:val="17"/>
        </w:rPr>
        <w:t>joint_pre/.../landscape/selection/cross_context_landscape_selected_seeds.tsv</w:t>
      </w:r>
    </w:p>
    <w:p>
      <w:pPr>
        <w:keepLines w:val="0"/>
      </w:pPr>
      <w:r>
        <w:rPr>
          <w:rFonts w:ascii="Arial" w:hAnsi="Arial" w:eastAsia="Arial"/>
          <w:b/>
          <w:sz w:val="21"/>
        </w:rPr>
        <w:t xml:space="preserve">Why this is a concern: </w:t>
      </w:r>
      <w:r>
        <w:rPr>
          <w:rFonts w:ascii="Arial" w:hAnsi="Arial" w:eastAsia="Arial"/>
          <w:sz w:val="21"/>
        </w:rPr>
        <w:t>The selected directions are conditional on one in vitro anchor and six weakly to moderately separated in vivo subclusters. t-SNE does not preserve global geometry reliably, so cluster separation in two dimensions is not sufficient evidence of distinct high-dimensional basins. Rejected local refinement and large between-pair objective differences further limit global-optimum claims.</w:t>
      </w:r>
    </w:p>
    <w:p>
      <w:pPr>
        <w:keepLines w:val="0"/>
      </w:pPr>
      <w:r>
        <w:rPr>
          <w:rFonts w:ascii="Arial" w:hAnsi="Arial" w:eastAsia="Arial"/>
          <w:b/>
          <w:sz w:val="21"/>
        </w:rPr>
        <w:t xml:space="preserve">Verification level: </w:t>
      </w:r>
      <w:r>
        <w:rPr>
          <w:rFonts w:ascii="Arial" w:hAnsi="Arial" w:eastAsia="Arial"/>
          <w:sz w:val="21"/>
        </w:rPr>
        <w:t>Confirmed for start selection, subcluster quality, and the 60 detailed joint solutions. The manuscript-wide claims for all 3,000 optimization outcomes require the all-run table requested in Major Comment 4.</w:t>
      </w:r>
    </w:p>
    <w:p>
      <w:pPr>
        <w:keepLines w:val="0"/>
      </w:pPr>
      <w:r>
        <w:rPr>
          <w:rFonts w:ascii="Arial" w:hAnsi="Arial" w:eastAsia="Arial"/>
          <w:b/>
          <w:sz w:val="21"/>
        </w:rPr>
        <w:t xml:space="preserve">Impact: </w:t>
      </w:r>
      <w:r>
        <w:rPr>
          <w:rFonts w:ascii="Arial" w:hAnsi="Arial" w:eastAsia="Arial"/>
          <w:sz w:val="21"/>
        </w:rPr>
        <w:t>High. It limits generalization of the reported parameter/function directions beyond the selected start combinations.</w:t>
      </w:r>
    </w:p>
    <w:p>
      <w:pPr>
        <w:keepLines w:val="0"/>
      </w:pPr>
      <w:r>
        <w:rPr>
          <w:rFonts w:ascii="Arial" w:hAnsi="Arial" w:eastAsia="Arial"/>
          <w:b/>
          <w:sz w:val="21"/>
        </w:rPr>
        <w:t xml:space="preserve">Required revision and acceptance criterion: </w:t>
      </w:r>
      <w:r>
        <w:rPr>
          <w:rFonts w:ascii="Arial" w:hAnsi="Arial" w:eastAsia="Arial"/>
          <w:sz w:val="21"/>
        </w:rPr>
        <w:t>Use multiple in vitro representatives in a cross-design; validate clusters in original transformed space with resampling/stability analyses; compare medoid and objective-minimum starts; extend or diversify optimization; and rename the sampled objects as search ensembles unless basin structure is demonstrated.</w:t>
      </w:r>
    </w:p>
    <w:p>
      <w:pPr>
        <w:keepLines w:val="0"/>
      </w:pPr>
      <w:r>
        <w:rPr>
          <w:rFonts w:ascii="Arial" w:hAnsi="Arial" w:eastAsia="Arial"/>
          <w:b/>
          <w:sz w:val="21"/>
        </w:rPr>
        <w:t xml:space="preserve">External methodological basis: </w:t>
      </w:r>
      <w:r>
        <w:rPr>
          <w:rFonts w:ascii="Arial" w:hAnsi="Arial" w:eastAsia="Arial"/>
          <w:sz w:val="21"/>
        </w:rPr>
        <w:t>Kobak and Berens, Nature Communications 2019, Abstract and Introduction, explain that t-SNE is strong for local structure but can misrepresent global geometry and that relative cluster positions can depend strongly on initialization. This supports original-space validation rather than biological interpretation of 2D cluster geometry.</w:t>
      </w:r>
    </w:p>
    <w:p>
      <w:pPr>
        <w:pStyle w:val="Heading1"/>
      </w:pPr>
      <w:r>
        <w:t>Major Comment 3: Reconcile the fixed-O2 response-class algorithm, counts, source tables, and Figure 6A</w:t>
      </w:r>
    </w:p>
    <w:p>
      <w:pPr>
        <w:keepLines w:val="0"/>
      </w:pPr>
      <w:r>
        <w:rPr>
          <w:rFonts w:ascii="Arial" w:hAnsi="Arial" w:eastAsia="Arial"/>
          <w:b/>
          <w:sz w:val="21"/>
        </w:rPr>
        <w:t xml:space="preserve">Review comment: </w:t>
      </w:r>
      <w:r>
        <w:rPr>
          <w:rFonts w:ascii="Arial" w:hAnsi="Arial" w:eastAsia="Arial"/>
          <w:sz w:val="21"/>
        </w:rPr>
        <w:t>Release and use one exact version of the fixed-O2 classifier and regenerate the response-class result from synchronized code and tables.</w:t>
      </w:r>
    </w:p>
    <w:p>
      <w:pPr>
        <w:keepLines w:val="0"/>
      </w:pPr>
      <w:r>
        <w:rPr>
          <w:rFonts w:ascii="Arial" w:hAnsi="Arial" w:eastAsia="Arial"/>
          <w:b/>
          <w:sz w:val="21"/>
        </w:rPr>
        <w:t xml:space="preserve">Manuscript basis: </w:t>
      </w:r>
      <w:r>
        <w:rPr>
          <w:rFonts w:ascii="Arial" w:hAnsi="Arial" w:eastAsia="Arial"/>
          <w:sz w:val="21"/>
        </w:rPr>
        <w:t>Fixed-O2 Results, line 126; Figure 6A caption, lines 210-212; Supplementary response-class method, lines 957-960.</w:t>
      </w:r>
    </w:p>
    <w:p>
      <w:pPr>
        <w:keepLines w:val="0"/>
      </w:pPr>
      <w:r>
        <w:rPr>
          <w:rFonts w:ascii="Arial" w:hAnsi="Arial" w:eastAsia="Arial"/>
          <w:b/>
          <w:sz w:val="21"/>
        </w:rPr>
        <w:t xml:space="preserve">Result and code evidence: </w:t>
      </w:r>
      <w:r>
        <w:rPr>
          <w:rFonts w:ascii="Arial" w:hAnsi="Arial" w:eastAsia="Arial"/>
          <w:sz w:val="21"/>
        </w:rPr>
        <w:t>The manuscript reports revised LOESS/persistent-segment counts: 316 complex nonmonotone, 50 inverted-U, 50 monotone increasing, 47 U-shaped, 26 flat, five increase-plateau, four decrease-plateau, and two monotone decreasing. The supplied fixed_o2_ploidy_monotonicity_class_counts.tsv instead contains 261, 149, 57, 25, 0, 5, 0, and 3, respectively, and the run metadata identify classification_rule_version = shape_first_v3. The active repository driver calls classify_o2_ploidy_curve; the newer smooth function exists in a utility file but is not invoked by that driver.</w:t>
      </w:r>
    </w:p>
    <w:p>
      <w:pPr>
        <w:keepLines w:val="0"/>
      </w:pPr>
      <w:r>
        <w:rPr>
          <w:rFonts w:ascii="Arial" w:hAnsi="Arial" w:eastAsia="Arial"/>
          <w:b/>
          <w:sz w:val="21"/>
        </w:rPr>
        <w:t xml:space="preserve">Evidence paths: </w:t>
      </w:r>
      <w:r>
        <w:rPr>
          <w:rFonts w:ascii="Arial" w:hAnsi="Arial" w:eastAsia="Arial"/>
          <w:sz w:val="21"/>
        </w:rPr>
      </w:r>
    </w:p>
    <w:p>
      <w:pPr>
        <w:pStyle w:val="EvidencePath"/>
      </w:pPr>
      <w:r>
        <w:rPr>
          <w:rFonts w:ascii="Courier New" w:hAnsi="Courier New" w:eastAsia="Courier New"/>
          <w:sz w:val="17"/>
        </w:rPr>
        <w:t>joint_pre/.../tables/fixed_o2_ploidy_monotonicity_class_counts.tsv</w:t>
      </w:r>
    </w:p>
    <w:p>
      <w:pPr>
        <w:pStyle w:val="EvidencePath"/>
      </w:pPr>
      <w:r>
        <w:rPr>
          <w:rFonts w:ascii="Courier New" w:hAnsi="Courier New" w:eastAsia="Courier New"/>
          <w:sz w:val="17"/>
        </w:rPr>
        <w:t>joint_pre/.../tables/fixed_o2_ploidy_monotonicity_by_seed.tsv</w:t>
      </w:r>
    </w:p>
    <w:p>
      <w:pPr>
        <w:pStyle w:val="EvidencePath"/>
      </w:pPr>
      <w:r>
        <w:rPr>
          <w:rFonts w:ascii="Courier New" w:hAnsi="Courier New" w:eastAsia="Courier New"/>
          <w:sz w:val="17"/>
        </w:rPr>
        <w:t>joint_pre/.../tables/fixed_o2_ploidy_monotonicity_run_arguments.tsv</w:t>
      </w:r>
    </w:p>
    <w:p>
      <w:pPr>
        <w:pStyle w:val="EvidencePath"/>
      </w:pPr>
      <w:r>
        <w:rPr>
          <w:rFonts w:ascii="Courier New" w:hAnsi="Courier New" w:eastAsia="Courier New"/>
          <w:sz w:val="17"/>
        </w:rPr>
        <w:t>analysis/fixed_o2_class_counts.csv</w:t>
      </w:r>
    </w:p>
    <w:p>
      <w:pPr>
        <w:pStyle w:val="EvidencePath"/>
      </w:pPr>
      <w:r>
        <w:rPr>
          <w:rFonts w:ascii="Courier New" w:hAnsi="Courier New" w:eastAsia="Courier New"/>
          <w:sz w:val="17"/>
        </w:rPr>
        <w:t>analysis/fixed_o2_run_arguments.csv</w:t>
      </w:r>
    </w:p>
    <w:p>
      <w:pPr>
        <w:pStyle w:val="EvidencePath"/>
      </w:pPr>
      <w:r>
        <w:rPr>
          <w:rFonts w:ascii="Courier New" w:hAnsi="Courier New" w:eastAsia="Courier New"/>
          <w:sz w:val="17"/>
        </w:rPr>
        <w:t>Repo: oxygen/code/O2_supply_demand_MAP/analysis/best_fit_parameter_feature/03_dense-grid_monotonicity_classification/fixed_o2_ploidy_monotonicity.R</w:t>
      </w:r>
    </w:p>
    <w:p>
      <w:pPr>
        <w:pStyle w:val="EvidencePath"/>
      </w:pPr>
      <w:r>
        <w:rPr>
          <w:rFonts w:ascii="Courier New" w:hAnsi="Courier New" w:eastAsia="Courier New"/>
          <w:sz w:val="17"/>
        </w:rPr>
        <w:t>Repo: oxygen/code/O2_supply_demand_MAP/analysis/best_fit_parameter_feature/util/curve_classification_utils.R</w:t>
      </w:r>
    </w:p>
    <w:p>
      <w:pPr>
        <w:keepLines w:val="0"/>
      </w:pPr>
      <w:r>
        <w:rPr>
          <w:rFonts w:ascii="Arial" w:hAnsi="Arial" w:eastAsia="Arial"/>
          <w:b/>
          <w:sz w:val="21"/>
        </w:rPr>
        <w:t xml:space="preserve">Why this is a concern: </w:t>
      </w:r>
      <w:r>
        <w:rPr>
          <w:rFonts w:ascii="Arial" w:hAnsi="Arial" w:eastAsia="Arial"/>
          <w:sz w:val="21"/>
        </w:rPr>
        <w:t>The response-class distribution is a headline result. Two classifier versions produce materially different biological narratives, so readers must be able to identify and rerun the exact analysis used in the manuscript.</w:t>
      </w:r>
    </w:p>
    <w:p>
      <w:pPr>
        <w:keepLines w:val="0"/>
      </w:pPr>
      <w:r>
        <w:rPr>
          <w:rFonts w:ascii="Arial" w:hAnsi="Arial" w:eastAsia="Arial"/>
          <w:b/>
          <w:sz w:val="21"/>
        </w:rPr>
        <w:t xml:space="preserve">Verification level: </w:t>
      </w:r>
      <w:r>
        <w:rPr>
          <w:rFonts w:ascii="Arial" w:hAnsi="Arial" w:eastAsia="Arial"/>
          <w:sz w:val="21"/>
        </w:rPr>
        <w:t>Confirmed mismatch between manuscript, supplied archive, and current repository driver. The revised LOESS output may exist elsewhere, but it was not supplied or traceable in the reviewed materials.</w:t>
      </w:r>
    </w:p>
    <w:p>
      <w:pPr>
        <w:keepLines w:val="0"/>
      </w:pPr>
      <w:r>
        <w:rPr>
          <w:rFonts w:ascii="Arial" w:hAnsi="Arial" w:eastAsia="Arial"/>
          <w:b/>
          <w:sz w:val="21"/>
        </w:rPr>
        <w:t xml:space="preserve">Impact: </w:t>
      </w:r>
      <w:r>
        <w:rPr>
          <w:rFonts w:ascii="Arial" w:hAnsi="Arial" w:eastAsia="Arial"/>
          <w:sz w:val="21"/>
        </w:rPr>
        <w:t>Critical for Figure 6A, the Results, the Abstract statement about retained regimes, and selection of warm-start interpretations.</w:t>
      </w:r>
    </w:p>
    <w:p>
      <w:pPr>
        <w:keepLines w:val="0"/>
      </w:pPr>
      <w:r>
        <w:rPr>
          <w:rFonts w:ascii="Arial" w:hAnsi="Arial" w:eastAsia="Arial"/>
          <w:b/>
          <w:sz w:val="21"/>
        </w:rPr>
        <w:t xml:space="preserve">Required revision and acceptance criterion: </w:t>
      </w:r>
      <w:r>
        <w:rPr>
          <w:rFonts w:ascii="Arial" w:hAnsi="Arial" w:eastAsia="Arial"/>
          <w:sz w:val="21"/>
        </w:rPr>
        <w:t>Archive the exact versioned classifier and commit; release complete raw/smoothed 100,500-row curves, persistent segments, 500-row classifications, spectral gaps, and class-change audit; and regenerate Figure 6A and all counts from those same files.</w:t>
      </w:r>
    </w:p>
    <w:p>
      <w:pPr>
        <w:keepLines w:val="0"/>
      </w:pPr>
      <w:r>
        <w:rPr>
          <w:rFonts w:ascii="Arial" w:hAnsi="Arial" w:eastAsia="Arial"/>
          <w:b/>
          <w:sz w:val="21"/>
        </w:rPr>
        <w:t xml:space="preserve">External methodological basis: </w:t>
      </w:r>
      <w:r>
        <w:rPr>
          <w:rFonts w:ascii="Arial" w:hAnsi="Arial" w:eastAsia="Arial"/>
          <w:sz w:val="21"/>
        </w:rPr>
        <w:t>No external methodological premise is needed; this is a direct source-code and result-table inconsistency.</w:t>
      </w:r>
    </w:p>
    <w:p>
      <w:pPr>
        <w:pStyle w:val="Heading1"/>
      </w:pPr>
      <w:r>
        <w:t>Major Comment 4: Make the Figure 6 objective overlay and all-3,000-run claims directly auditable</w:t>
      </w:r>
    </w:p>
    <w:p>
      <w:pPr>
        <w:keepLines w:val="0"/>
      </w:pPr>
      <w:r>
        <w:rPr>
          <w:rFonts w:ascii="Arial" w:hAnsi="Arial" w:eastAsia="Arial"/>
          <w:b/>
          <w:sz w:val="21"/>
        </w:rPr>
        <w:t xml:space="preserve">Review comment: </w:t>
      </w:r>
      <w:r>
        <w:rPr>
          <w:rFonts w:ascii="Arial" w:hAnsi="Arial" w:eastAsia="Arial"/>
          <w:sz w:val="21"/>
        </w:rPr>
        <w:t>Use the actual complete MAP objective in Figure 6 and release a full all-run joint summary, or narrow the claims to the 60 detailed solutions.</w:t>
      </w:r>
    </w:p>
    <w:p>
      <w:pPr>
        <w:keepLines w:val="0"/>
      </w:pPr>
      <w:r>
        <w:rPr>
          <w:rFonts w:ascii="Arial" w:hAnsi="Arial" w:eastAsia="Arial"/>
          <w:b/>
          <w:sz w:val="21"/>
        </w:rPr>
        <w:t xml:space="preserve">Manuscript basis: </w:t>
      </w:r>
      <w:r>
        <w:rPr>
          <w:rFonts w:ascii="Arial" w:hAnsi="Arial" w:eastAsia="Arial"/>
          <w:sz w:val="21"/>
        </w:rPr>
        <w:t>Joint Results, lines 122-128; Figure 5 interval captions, lines 188-204; Figure 6C caption, lines 219-221; optimization statement, line 932; missing input reference, line 997.</w:t>
      </w:r>
    </w:p>
    <w:p>
      <w:pPr>
        <w:keepLines w:val="0"/>
      </w:pPr>
      <w:r>
        <w:rPr>
          <w:rFonts w:ascii="Arial" w:hAnsi="Arial" w:eastAsia="Arial"/>
          <w:b/>
          <w:sz w:val="21"/>
        </w:rPr>
        <w:t xml:space="preserve">Result and code evidence: </w:t>
      </w:r>
      <w:r>
        <w:rPr>
          <w:rFonts w:ascii="Arial" w:hAnsi="Arial" w:eastAsia="Arial"/>
          <w:sz w:val="21"/>
        </w:rPr>
        <w:t>All 500 fixed-O2 seed records identify objective_source = raw_likelihood. This is the raw burden-plus-ploidy score, not the complete MAP objective, and its Spearman correlation with the MAP objective is 0.429. The manuscript nevertheless labels the overlay as complete MAP. Detailed joint output is present for only ten seeds per pair (60 total). No complete 3,000-row parameter, function, bound, and convergence table was found. The manuscript also inputs manuscript/tables/tao_joint_function_contrasts.tex, which is absent from the reviewed repository branch.</w:t>
      </w:r>
    </w:p>
    <w:p>
      <w:pPr>
        <w:keepLines w:val="0"/>
      </w:pPr>
      <w:r>
        <w:rPr>
          <w:rFonts w:ascii="Arial" w:hAnsi="Arial" w:eastAsia="Arial"/>
          <w:b/>
          <w:sz w:val="21"/>
        </w:rPr>
        <w:t xml:space="preserve">Evidence paths: </w:t>
      </w:r>
      <w:r>
        <w:rPr>
          <w:rFonts w:ascii="Arial" w:hAnsi="Arial" w:eastAsia="Arial"/>
          <w:sz w:val="21"/>
        </w:rPr>
      </w:r>
    </w:p>
    <w:p>
      <w:pPr>
        <w:pStyle w:val="EvidencePath"/>
      </w:pPr>
      <w:r>
        <w:rPr>
          <w:rFonts w:ascii="Courier New" w:hAnsi="Courier New" w:eastAsia="Courier New"/>
          <w:sz w:val="17"/>
        </w:rPr>
        <w:t>analysis/fixed_o2_objective_definition_audit.csv</w:t>
      </w:r>
    </w:p>
    <w:p>
      <w:pPr>
        <w:pStyle w:val="EvidencePath"/>
      </w:pPr>
      <w:r>
        <w:rPr>
          <w:rFonts w:ascii="Courier New" w:hAnsi="Courier New" w:eastAsia="Courier New"/>
          <w:sz w:val="17"/>
        </w:rPr>
        <w:t>analysis/fixed_o2_objective_spearman_correlations.csv</w:t>
      </w:r>
    </w:p>
    <w:p>
      <w:pPr>
        <w:pStyle w:val="EvidencePath"/>
      </w:pPr>
      <w:r>
        <w:rPr>
          <w:rFonts w:ascii="Courier New" w:hAnsi="Courier New" w:eastAsia="Courier New"/>
          <w:sz w:val="17"/>
        </w:rPr>
        <w:t>analysis/fixed_o2_by_seed_500.csv</w:t>
      </w:r>
    </w:p>
    <w:p>
      <w:pPr>
        <w:pStyle w:val="EvidencePath"/>
      </w:pPr>
      <w:r>
        <w:rPr>
          <w:rFonts w:ascii="Courier New" w:hAnsi="Courier New" w:eastAsia="Courier New"/>
          <w:sz w:val="17"/>
        </w:rPr>
        <w:t>analysis/joint_selected60_fit_summary.csv</w:t>
      </w:r>
    </w:p>
    <w:p>
      <w:pPr>
        <w:pStyle w:val="EvidencePath"/>
      </w:pPr>
      <w:r>
        <w:rPr>
          <w:rFonts w:ascii="Courier New" w:hAnsi="Courier New" w:eastAsia="Courier New"/>
          <w:sz w:val="17"/>
        </w:rPr>
        <w:t>analysis/joint_survival_function_all60.csv</w:t>
      </w:r>
    </w:p>
    <w:p>
      <w:pPr>
        <w:pStyle w:val="EvidencePath"/>
      </w:pPr>
      <w:r>
        <w:rPr>
          <w:rFonts w:ascii="Courier New" w:hAnsi="Courier New" w:eastAsia="Courier New"/>
          <w:sz w:val="17"/>
        </w:rPr>
        <w:t>analysis/joint_missegregation_function_all60.csv</w:t>
      </w:r>
    </w:p>
    <w:p>
      <w:pPr>
        <w:pStyle w:val="EvidencePath"/>
      </w:pPr>
      <w:r>
        <w:rPr>
          <w:rFonts w:ascii="Courier New" w:hAnsi="Courier New" w:eastAsia="Courier New"/>
          <w:sz w:val="17"/>
        </w:rPr>
        <w:t>top10/.../fit_array_manifest.tsv (run metadata only)</w:t>
      </w:r>
    </w:p>
    <w:p>
      <w:pPr>
        <w:keepLines w:val="0"/>
      </w:pPr>
      <w:r>
        <w:rPr>
          <w:rFonts w:ascii="Arial" w:hAnsi="Arial" w:eastAsia="Arial"/>
          <w:b/>
          <w:sz w:val="21"/>
        </w:rPr>
        <w:t xml:space="preserve">Why this is a concern: </w:t>
      </w:r>
      <w:r>
        <w:rPr>
          <w:rFonts w:ascii="Arial" w:hAnsi="Arial" w:eastAsia="Arial"/>
          <w:sz w:val="21"/>
        </w:rPr>
        <w:t>A lowest-decile subset depends on the score used to rank seeds. Raw likelihood and MAP are not interchangeable here. Likewise, claims about all numerical solutions and percentile intervals cannot be independently verified from selected top-ten directories.</w:t>
      </w:r>
    </w:p>
    <w:p>
      <w:pPr>
        <w:keepLines w:val="0"/>
      </w:pPr>
      <w:r>
        <w:rPr>
          <w:rFonts w:ascii="Arial" w:hAnsi="Arial" w:eastAsia="Arial"/>
          <w:b/>
          <w:sz w:val="21"/>
        </w:rPr>
        <w:t xml:space="preserve">Verification level: </w:t>
      </w:r>
      <w:r>
        <w:rPr>
          <w:rFonts w:ascii="Arial" w:hAnsi="Arial" w:eastAsia="Arial"/>
          <w:sz w:val="21"/>
        </w:rPr>
        <w:t>Objective mismatch confirmed for all 500 fixed-O2 records. All-3,000 claims are not verifiable from the supplied package; function-level directions are confirmed only for the 60 detailed selected solutions.</w:t>
      </w:r>
    </w:p>
    <w:p>
      <w:pPr>
        <w:keepLines w:val="0"/>
      </w:pPr>
      <w:r>
        <w:rPr>
          <w:rFonts w:ascii="Arial" w:hAnsi="Arial" w:eastAsia="Arial"/>
          <w:b/>
          <w:sz w:val="21"/>
        </w:rPr>
        <w:t xml:space="preserve">Impact: </w:t>
      </w:r>
      <w:r>
        <w:rPr>
          <w:rFonts w:ascii="Arial" w:hAnsi="Arial" w:eastAsia="Arial"/>
          <w:sz w:val="21"/>
        </w:rPr>
        <w:t>Critical for Figure 6C, Figure 5 uncertainty language, and the strongest numerical-consensus claims.</w:t>
      </w:r>
    </w:p>
    <w:p>
      <w:pPr>
        <w:keepLines w:val="0"/>
      </w:pPr>
      <w:r>
        <w:rPr>
          <w:rFonts w:ascii="Arial" w:hAnsi="Arial" w:eastAsia="Arial"/>
          <w:b/>
          <w:sz w:val="21"/>
        </w:rPr>
        <w:t xml:space="preserve">Required revision and acceptance criterion: </w:t>
      </w:r>
      <w:r>
        <w:rPr>
          <w:rFonts w:ascii="Arial" w:hAnsi="Arial" w:eastAsia="Arial"/>
          <w:sz w:val="21"/>
        </w:rPr>
        <w:t>Release the exact MAP objective crosswalk and regenerate Figure 6C; release a 3,000-row joint table containing objective components, parameters, context reconstruction, bounds, derived functions, optimizer diagnostics, and pair labels; provide the missing joint-function TeX/source table; or explicitly limit all statements and intervals to the audited 60 solutions. Release the exact Figure 4 AUC source tables as well.</w:t>
      </w:r>
    </w:p>
    <w:p>
      <w:pPr>
        <w:keepLines w:val="0"/>
      </w:pPr>
      <w:r>
        <w:rPr>
          <w:rFonts w:ascii="Arial" w:hAnsi="Arial" w:eastAsia="Arial"/>
          <w:b/>
          <w:sz w:val="21"/>
        </w:rPr>
        <w:t xml:space="preserve">External methodological basis: </w:t>
      </w:r>
      <w:r>
        <w:rPr>
          <w:rFonts w:ascii="Arial" w:hAnsi="Arial" w:eastAsia="Arial"/>
          <w:sz w:val="21"/>
        </w:rPr>
        <w:t>Sandve et al. Rules 1, 5, 7, 9, and 10 require tracking how results were produced, retaining intermediate results and data behind plots, connecting textual claims to underlying results, and providing access to scripts and outputs (PLOS Computational Biology 2013; doi:10.1371/journal.pcbi.1003285).</w:t>
      </w:r>
    </w:p>
    <w:p>
      <w:pPr>
        <w:pStyle w:val="Heading1"/>
      </w:pPr>
      <w:r>
        <w:t>Major Comment 5: Perform formal practical-identifiability and bound-sensitivity analyses</w:t>
      </w:r>
    </w:p>
    <w:p>
      <w:pPr>
        <w:keepLines w:val="0"/>
      </w:pPr>
      <w:r>
        <w:rPr>
          <w:rFonts w:ascii="Arial" w:hAnsi="Arial" w:eastAsia="Arial"/>
          <w:b/>
          <w:sz w:val="21"/>
        </w:rPr>
        <w:t xml:space="preserve">Review comment: </w:t>
      </w:r>
      <w:r>
        <w:rPr>
          <w:rFonts w:ascii="Arial" w:hAnsi="Arial" w:eastAsia="Arial"/>
          <w:sz w:val="21"/>
        </w:rPr>
        <w:t>Quantify parameter and function uncertainty with likelihood-based or equivalent re-optimization methods rather than numerical-seed spread alone.</w:t>
      </w:r>
    </w:p>
    <w:p>
      <w:pPr>
        <w:keepLines w:val="0"/>
      </w:pPr>
      <w:r>
        <w:rPr>
          <w:rFonts w:ascii="Arial" w:hAnsi="Arial" w:eastAsia="Arial"/>
          <w:b/>
          <w:sz w:val="21"/>
        </w:rPr>
        <w:t xml:space="preserve">Manuscript basis: </w:t>
      </w:r>
      <w:r>
        <w:rPr>
          <w:rFonts w:ascii="Arial" w:hAnsi="Arial" w:eastAsia="Arial"/>
          <w:sz w:val="21"/>
        </w:rPr>
        <w:t>In vivo fit-quality and non-identifiability discussion, lines 110-112; joint boundary and penalty statements, lines 118-124; Discussion, line 240; parameter-bound caveat, line 986.</w:t>
      </w:r>
    </w:p>
    <w:p>
      <w:pPr>
        <w:keepLines w:val="0"/>
      </w:pPr>
      <w:r>
        <w:rPr>
          <w:rFonts w:ascii="Arial" w:hAnsi="Arial" w:eastAsia="Arial"/>
          <w:b/>
          <w:sz w:val="21"/>
        </w:rPr>
        <w:t xml:space="preserve">Result and code evidence: </w:t>
      </w:r>
      <w:r>
        <w:rPr>
          <w:rFonts w:ascii="Arial" w:hAnsi="Arial" w:eastAsia="Arial"/>
          <w:sz w:val="21"/>
        </w:rPr>
        <w:t>Separate in vivo objectives differ by only 0.0555 across the top ten while several parameters vary widely. sigma_burden reaches its upper bound in 10/10. Joint selected solutions contain numerous union-bound hits; p_misseg reaches the active in vivo upper bound in two pairs, and many Welsch terms are saturated. The manuscript reports optimizer-seed percentiles but correctly notes that they are not biological confidence intervals.</w:t>
      </w:r>
    </w:p>
    <w:p>
      <w:pPr>
        <w:keepLines w:val="0"/>
      </w:pPr>
      <w:r>
        <w:rPr>
          <w:rFonts w:ascii="Arial" w:hAnsi="Arial" w:eastAsia="Arial"/>
          <w:b/>
          <w:sz w:val="21"/>
        </w:rPr>
        <w:t xml:space="preserve">Evidence paths: </w:t>
      </w:r>
      <w:r>
        <w:rPr>
          <w:rFonts w:ascii="Arial" w:hAnsi="Arial" w:eastAsia="Arial"/>
          <w:sz w:val="21"/>
        </w:rPr>
      </w:r>
    </w:p>
    <w:p>
      <w:pPr>
        <w:pStyle w:val="EvidencePath"/>
      </w:pPr>
      <w:r>
        <w:rPr>
          <w:rFonts w:ascii="Courier New" w:hAnsi="Courier New" w:eastAsia="Courier New"/>
          <w:sz w:val="17"/>
        </w:rPr>
        <w:t>analysis/invivo_top10_fit_quality.csv</w:t>
      </w:r>
    </w:p>
    <w:p>
      <w:pPr>
        <w:pStyle w:val="EvidencePath"/>
      </w:pPr>
      <w:r>
        <w:rPr>
          <w:rFonts w:ascii="Courier New" w:hAnsi="Courier New" w:eastAsia="Courier New"/>
          <w:sz w:val="17"/>
        </w:rPr>
        <w:t>analysis/independent_parameter_values_long.csv</w:t>
      </w:r>
    </w:p>
    <w:p>
      <w:pPr>
        <w:pStyle w:val="EvidencePath"/>
      </w:pPr>
      <w:r>
        <w:rPr>
          <w:rFonts w:ascii="Courier New" w:hAnsi="Courier New" w:eastAsia="Courier New"/>
          <w:sz w:val="17"/>
        </w:rPr>
        <w:t>analysis/independent_parameter_boundary_hits.csv</w:t>
      </w:r>
    </w:p>
    <w:p>
      <w:pPr>
        <w:pStyle w:val="EvidencePath"/>
      </w:pPr>
      <w:r>
        <w:rPr>
          <w:rFonts w:ascii="Courier New" w:hAnsi="Courier New" w:eastAsia="Courier New"/>
          <w:sz w:val="17"/>
        </w:rPr>
        <w:t>analysis/joint_soft_coupling_parameter_summary.csv</w:t>
      </w:r>
    </w:p>
    <w:p>
      <w:pPr>
        <w:pStyle w:val="EvidencePath"/>
      </w:pPr>
      <w:r>
        <w:rPr>
          <w:rFonts w:ascii="Courier New" w:hAnsi="Courier New" w:eastAsia="Courier New"/>
          <w:sz w:val="17"/>
        </w:rPr>
        <w:t>analysis/joint_selected60_fit_summary.csv</w:t>
      </w:r>
    </w:p>
    <w:p>
      <w:pPr>
        <w:keepLines w:val="0"/>
      </w:pPr>
      <w:r>
        <w:rPr>
          <w:rFonts w:ascii="Arial" w:hAnsi="Arial" w:eastAsia="Arial"/>
          <w:b/>
          <w:sz w:val="21"/>
        </w:rPr>
        <w:t xml:space="preserve">Why this is a concern: </w:t>
      </w:r>
      <w:r>
        <w:rPr>
          <w:rFonts w:ascii="Arial" w:hAnsi="Arial" w:eastAsia="Arial"/>
          <w:sz w:val="21"/>
        </w:rPr>
        <w:t>Near-equivalent objectives and bounds indicate parameter compensation. Directional consensus within selected optimizer runs does not show that a parameter or derived function is bounded by the data after nuisance parameters are re-optimized.</w:t>
      </w:r>
    </w:p>
    <w:p>
      <w:pPr>
        <w:keepLines w:val="0"/>
      </w:pPr>
      <w:r>
        <w:rPr>
          <w:rFonts w:ascii="Arial" w:hAnsi="Arial" w:eastAsia="Arial"/>
          <w:b/>
          <w:sz w:val="21"/>
        </w:rPr>
        <w:t xml:space="preserve">Verification level: </w:t>
      </w:r>
      <w:r>
        <w:rPr>
          <w:rFonts w:ascii="Arial" w:hAnsi="Arial" w:eastAsia="Arial"/>
          <w:sz w:val="21"/>
        </w:rPr>
        <w:t>Confirmed evidence of practical non-identifiability and boundary dependence. A formal profile, bootstrap, recovery, or expanded-bound analysis was not supplied.</w:t>
      </w:r>
    </w:p>
    <w:p>
      <w:pPr>
        <w:keepLines w:val="0"/>
      </w:pPr>
      <w:r>
        <w:rPr>
          <w:rFonts w:ascii="Arial" w:hAnsi="Arial" w:eastAsia="Arial"/>
          <w:b/>
          <w:sz w:val="21"/>
        </w:rPr>
        <w:t xml:space="preserve">Impact: </w:t>
      </w:r>
      <w:r>
        <w:rPr>
          <w:rFonts w:ascii="Arial" w:hAnsi="Arial" w:eastAsia="Arial"/>
          <w:sz w:val="21"/>
        </w:rPr>
        <w:t>High for quantitative effect-size claims and medium-high for direction-level mechanism claims.</w:t>
      </w:r>
    </w:p>
    <w:p>
      <w:pPr>
        <w:keepLines w:val="0"/>
      </w:pPr>
      <w:r>
        <w:rPr>
          <w:rFonts w:ascii="Arial" w:hAnsi="Arial" w:eastAsia="Arial"/>
          <w:b/>
          <w:sz w:val="21"/>
        </w:rPr>
        <w:t xml:space="preserve">Required revision and acceptance criterion: </w:t>
      </w:r>
      <w:r>
        <w:rPr>
          <w:rFonts w:ascii="Arial" w:hAnsi="Arial" w:eastAsia="Arial"/>
          <w:sz w:val="21"/>
        </w:rPr>
        <w:t>Provide profile likelihood or an equivalent re-optimization-based analysis for key parameters and derived functions; expanded-bound sensitivity; synthetic recovery; and a clear distinction among optimizer spread, likelihood uncertainty, and biological uncertainty.</w:t>
      </w:r>
    </w:p>
    <w:p>
      <w:pPr>
        <w:keepLines w:val="0"/>
      </w:pPr>
      <w:r>
        <w:rPr>
          <w:rFonts w:ascii="Arial" w:hAnsi="Arial" w:eastAsia="Arial"/>
          <w:b/>
          <w:sz w:val="21"/>
        </w:rPr>
        <w:t xml:space="preserve">External methodological basis: </w:t>
      </w:r>
      <w:r>
        <w:rPr>
          <w:rFonts w:ascii="Arial" w:hAnsi="Arial" w:eastAsia="Arial"/>
          <w:sz w:val="21"/>
        </w:rPr>
        <w:t>Raue et al., Bioinformatics 2009, Abstract, Introduction, Section 2.3.2, and Discussion, define practical non-identifiability from limited data and show how profile likelihood detects flat directions and yields likelihood-based intervals (doi:10.1093/bioinformatics/btp358).</w:t>
      </w:r>
    </w:p>
    <w:p>
      <w:pPr>
        <w:pStyle w:val="Heading1"/>
      </w:pPr>
      <w:r>
        <w:t>Major Comment 6: Establish model adequacy and predictive value rather than calibration alone</w:t>
      </w:r>
    </w:p>
    <w:p>
      <w:pPr>
        <w:keepLines w:val="0"/>
      </w:pPr>
      <w:r>
        <w:rPr>
          <w:rFonts w:ascii="Arial" w:hAnsi="Arial" w:eastAsia="Arial"/>
          <w:b/>
          <w:sz w:val="21"/>
        </w:rPr>
        <w:t xml:space="preserve">Review comment: </w:t>
      </w:r>
      <w:r>
        <w:rPr>
          <w:rFonts w:ascii="Arial" w:hAnsi="Arial" w:eastAsia="Arial"/>
          <w:sz w:val="21"/>
        </w:rPr>
        <w:t>Add residual, predictive, held-out, and baseline analyses and treat the late 2N divergence as a failed model prediction.</w:t>
      </w:r>
    </w:p>
    <w:p>
      <w:pPr>
        <w:keepLines w:val="0"/>
      </w:pPr>
      <w:r>
        <w:rPr>
          <w:rFonts w:ascii="Arial" w:hAnsi="Arial" w:eastAsia="Arial"/>
          <w:b/>
          <w:sz w:val="21"/>
        </w:rPr>
        <w:t xml:space="preserve">Manuscript basis: </w:t>
      </w:r>
      <w:r>
        <w:rPr>
          <w:rFonts w:ascii="Arial" w:hAnsi="Arial" w:eastAsia="Arial"/>
          <w:sz w:val="21"/>
        </w:rPr>
        <w:t>In vitro Results, lines 98-100; in vivo fit-quality Results, lines 110-112; in vitro experimental/likelihood structure, lines 269-273 and 780-855.</w:t>
      </w:r>
    </w:p>
    <w:p>
      <w:pPr>
        <w:keepLines w:val="0"/>
      </w:pPr>
      <w:r>
        <w:rPr>
          <w:rFonts w:ascii="Arial" w:hAnsi="Arial" w:eastAsia="Arial"/>
          <w:b/>
          <w:sz w:val="21"/>
        </w:rPr>
        <w:t xml:space="preserve">Result and code evidence: </w:t>
      </w:r>
      <w:r>
        <w:rPr>
          <w:rFonts w:ascii="Arial" w:hAnsi="Arial" w:eastAsia="Arial"/>
          <w:sz w:val="21"/>
        </w:rPr>
        <w:t>Observed late deprived-2N branch means are 66.85 and 88.05 chromosomes, whereas the selected fitted branch-level predictions are 63.72-64.40. Separate in vivo top-ten log-burden RMSE is 0.663-0.680; terminal-distribution total-variation distance is 0.681-0.714; Wasserstein-1 is 4.18-5.24 chromosomes. Dynamic parameters are shared within lineage cohorts, and no held-out validation or simple baseline comparison was located.</w:t>
      </w:r>
    </w:p>
    <w:p>
      <w:pPr>
        <w:keepLines w:val="0"/>
      </w:pPr>
      <w:r>
        <w:rPr>
          <w:rFonts w:ascii="Arial" w:hAnsi="Arial" w:eastAsia="Arial"/>
          <w:b/>
          <w:sz w:val="21"/>
        </w:rPr>
        <w:t xml:space="preserve">Evidence paths: </w:t>
      </w:r>
      <w:r>
        <w:rPr>
          <w:rFonts w:ascii="Arial" w:hAnsi="Arial" w:eastAsia="Arial"/>
          <w:sz w:val="21"/>
        </w:rPr>
      </w:r>
    </w:p>
    <w:p>
      <w:pPr>
        <w:pStyle w:val="EvidencePath"/>
      </w:pPr>
      <w:r>
        <w:rPr>
          <w:rFonts w:ascii="Courier New" w:hAnsi="Courier New" w:eastAsia="Courier New"/>
          <w:sz w:val="17"/>
        </w:rPr>
        <w:t>analysis/invitro_top10_robustness.csv</w:t>
      </w:r>
    </w:p>
    <w:p>
      <w:pPr>
        <w:pStyle w:val="EvidencePath"/>
      </w:pPr>
      <w:r>
        <w:rPr>
          <w:rFonts w:ascii="Courier New" w:hAnsi="Courier New" w:eastAsia="Courier New"/>
          <w:sz w:val="17"/>
        </w:rPr>
        <w:t>analysis/invivo_top10_fit_quality.csv</w:t>
      </w:r>
    </w:p>
    <w:p>
      <w:pPr>
        <w:pStyle w:val="EvidencePath"/>
      </w:pPr>
      <w:r>
        <w:rPr>
          <w:rFonts w:ascii="Courier New" w:hAnsi="Courier New" w:eastAsia="Courier New"/>
          <w:sz w:val="17"/>
        </w:rPr>
        <w:t>top10/fit_invitro_O2_buffering_500seed/seed*/invitro_distribution_summary.tsv</w:t>
      </w:r>
    </w:p>
    <w:p>
      <w:pPr>
        <w:pStyle w:val="EvidencePath"/>
      </w:pPr>
      <w:r>
        <w:rPr>
          <w:rFonts w:ascii="Courier New" w:hAnsi="Courier New" w:eastAsia="Courier New"/>
          <w:sz w:val="17"/>
        </w:rPr>
        <w:t>top10/fit_invivo_O2_buffering_500seed/seed*/burden_fit.tsv</w:t>
      </w:r>
    </w:p>
    <w:p>
      <w:pPr>
        <w:pStyle w:val="EvidencePath"/>
      </w:pPr>
      <w:r>
        <w:rPr>
          <w:rFonts w:ascii="Courier New" w:hAnsi="Courier New" w:eastAsia="Courier New"/>
          <w:sz w:val="17"/>
        </w:rPr>
        <w:t>top10/fit_invivo_O2_buffering_500seed/seed*/ploidy_fit.tsv</w:t>
      </w:r>
    </w:p>
    <w:p>
      <w:pPr>
        <w:keepLines w:val="0"/>
      </w:pPr>
      <w:r>
        <w:rPr>
          <w:rFonts w:ascii="Arial" w:hAnsi="Arial" w:eastAsia="Arial"/>
          <w:b/>
          <w:sz w:val="21"/>
        </w:rPr>
        <w:t xml:space="preserve">Why this is a concern: </w:t>
      </w:r>
      <w:r>
        <w:rPr>
          <w:rFonts w:ascii="Arial" w:hAnsi="Arial" w:eastAsia="Arial"/>
          <w:sz w:val="21"/>
        </w:rPr>
        <w:t>A complex mechanistic model can fit aggregate scales while failing branch-specific behavior or distribution shape. Calibration to all observations does not establish predictive validity or mechanism specificity.</w:t>
      </w:r>
    </w:p>
    <w:p>
      <w:pPr>
        <w:keepLines w:val="0"/>
      </w:pPr>
      <w:r>
        <w:rPr>
          <w:rFonts w:ascii="Arial" w:hAnsi="Arial" w:eastAsia="Arial"/>
          <w:b/>
          <w:sz w:val="21"/>
        </w:rPr>
        <w:t xml:space="preserve">Verification level: </w:t>
      </w:r>
      <w:r>
        <w:rPr>
          <w:rFonts w:ascii="Arial" w:hAnsi="Arial" w:eastAsia="Arial"/>
          <w:sz w:val="21"/>
        </w:rPr>
        <w:t>Confirmed for the selected top-ten separate fits and model structure. No held-out validation or baseline comparison was supplied.</w:t>
      </w:r>
    </w:p>
    <w:p>
      <w:pPr>
        <w:keepLines w:val="0"/>
      </w:pPr>
      <w:r>
        <w:rPr>
          <w:rFonts w:ascii="Arial" w:hAnsi="Arial" w:eastAsia="Arial"/>
          <w:b/>
          <w:sz w:val="21"/>
        </w:rPr>
        <w:t xml:space="preserve">Impact: </w:t>
      </w:r>
      <w:r>
        <w:rPr>
          <w:rFonts w:ascii="Arial" w:hAnsi="Arial" w:eastAsia="Arial"/>
          <w:sz w:val="21"/>
        </w:rPr>
        <w:t>High for the interpretation that the fitted mechanisms explain culture and tumor behavior rather than summarize it.</w:t>
      </w:r>
    </w:p>
    <w:p>
      <w:pPr>
        <w:keepLines w:val="0"/>
      </w:pPr>
      <w:r>
        <w:rPr>
          <w:rFonts w:ascii="Arial" w:hAnsi="Arial" w:eastAsia="Arial"/>
          <w:b/>
          <w:sz w:val="21"/>
        </w:rPr>
        <w:t xml:space="preserve">Required revision and acceptance criterion: </w:t>
      </w:r>
      <w:r>
        <w:rPr>
          <w:rFonts w:ascii="Arial" w:hAnsi="Arial" w:eastAsia="Arial"/>
          <w:sz w:val="21"/>
        </w:rPr>
        <w:t>Provide observation-level residual and predictive checks for all modalities, simple baseline comparisons, and leave-one-mouse/branch/passage validation. Add branch-specific or hierarchical observation components where supported, or narrow the conclusions to cohort-level descriptive inference.</w:t>
      </w:r>
    </w:p>
    <w:p>
      <w:pPr>
        <w:keepLines w:val="0"/>
      </w:pPr>
      <w:r>
        <w:rPr>
          <w:rFonts w:ascii="Arial" w:hAnsi="Arial" w:eastAsia="Arial"/>
          <w:b/>
          <w:sz w:val="21"/>
        </w:rPr>
        <w:t xml:space="preserve">External methodological basis: </w:t>
      </w:r>
      <w:r>
        <w:rPr>
          <w:rFonts w:ascii="Arial" w:hAnsi="Arial" w:eastAsia="Arial"/>
          <w:sz w:val="21"/>
        </w:rPr>
        <w:t>No external premise is required; the concern follows directly from the reported residual magnitudes and unmodeled branch/tumor heterogeneity.</w:t>
      </w:r>
    </w:p>
    <w:p>
      <w:pPr>
        <w:pStyle w:val="Heading1"/>
      </w:pPr>
      <w:r>
        <w:t>Major Comment 7: Make fixed-O2 interpretation finite-time and reliability-aware</w:t>
      </w:r>
    </w:p>
    <w:p>
      <w:pPr>
        <w:keepLines w:val="0"/>
      </w:pPr>
      <w:r>
        <w:rPr>
          <w:rFonts w:ascii="Arial" w:hAnsi="Arial" w:eastAsia="Arial"/>
          <w:b/>
          <w:sz w:val="21"/>
        </w:rPr>
        <w:t xml:space="preserve">Review comment: </w:t>
      </w:r>
      <w:r>
        <w:rPr>
          <w:rFonts w:ascii="Arial" w:hAnsi="Arial" w:eastAsia="Arial"/>
          <w:sz w:val="21"/>
        </w:rPr>
        <w:t>Do not pool weakly separated asymptotic eigenmodes with stable regimes; evaluate the operator over experimental time horizons and test threshold sensitivity.</w:t>
      </w:r>
    </w:p>
    <w:p>
      <w:pPr>
        <w:keepLines w:val="0"/>
      </w:pPr>
      <w:r>
        <w:rPr>
          <w:rFonts w:ascii="Arial" w:hAnsi="Arial" w:eastAsia="Arial"/>
          <w:b/>
          <w:sz w:val="21"/>
        </w:rPr>
        <w:t xml:space="preserve">Manuscript basis: </w:t>
      </w:r>
      <w:r>
        <w:rPr>
          <w:rFonts w:ascii="Arial" w:hAnsi="Arial" w:eastAsia="Arial"/>
          <w:sz w:val="21"/>
        </w:rPr>
        <w:t>Fixed-O2 Results, lines 126-128; model-overview caption, line 148; Figure 6 captions, lines 210-221; fixed-O2 and reliability Methods, lines 936-960.</w:t>
      </w:r>
    </w:p>
    <w:p>
      <w:pPr>
        <w:keepLines w:val="0"/>
      </w:pPr>
      <w:r>
        <w:rPr>
          <w:rFonts w:ascii="Arial" w:hAnsi="Arial" w:eastAsia="Arial"/>
          <w:b/>
          <w:sz w:val="21"/>
        </w:rPr>
        <w:t xml:space="preserve">Result and code evidence: </w:t>
      </w:r>
      <w:r>
        <w:rPr>
          <w:rFonts w:ascii="Arial" w:hAnsi="Arial" w:eastAsia="Arial"/>
          <w:sz w:val="21"/>
        </w:rPr>
        <w:t>The supplied classification has 141 reliable, 168 caution, and 191 unreliable curves. The six selected in vivo warm starts comprise three caution and three unreliable curves. The spectral-gap rule uses 0.005 and 0.01 per day. A gap of 0.005 implies a 1/gap separation time of 200 days, while the supplied burden observations extend to at most day 91.</w:t>
      </w:r>
    </w:p>
    <w:p>
      <w:pPr>
        <w:keepLines w:val="0"/>
      </w:pPr>
      <w:r>
        <w:rPr>
          <w:rFonts w:ascii="Arial" w:hAnsi="Arial" w:eastAsia="Arial"/>
          <w:b/>
          <w:sz w:val="21"/>
        </w:rPr>
        <w:t xml:space="preserve">Evidence paths: </w:t>
      </w:r>
      <w:r>
        <w:rPr>
          <w:rFonts w:ascii="Arial" w:hAnsi="Arial" w:eastAsia="Arial"/>
          <w:sz w:val="21"/>
        </w:rPr>
      </w:r>
    </w:p>
    <w:p>
      <w:pPr>
        <w:pStyle w:val="EvidencePath"/>
      </w:pPr>
      <w:r>
        <w:rPr>
          <w:rFonts w:ascii="Courier New" w:hAnsi="Courier New" w:eastAsia="Courier New"/>
          <w:sz w:val="17"/>
        </w:rPr>
        <w:t>analysis/fixed_o2_reliability_counts.csv</w:t>
      </w:r>
    </w:p>
    <w:p>
      <w:pPr>
        <w:pStyle w:val="EvidencePath"/>
      </w:pPr>
      <w:r>
        <w:rPr>
          <w:rFonts w:ascii="Courier New" w:hAnsi="Courier New" w:eastAsia="Courier New"/>
          <w:sz w:val="17"/>
        </w:rPr>
        <w:t>analysis/fixed_o2_class_by_reliability.csv</w:t>
      </w:r>
    </w:p>
    <w:p>
      <w:pPr>
        <w:pStyle w:val="EvidencePath"/>
      </w:pPr>
      <w:r>
        <w:rPr>
          <w:rFonts w:ascii="Courier New" w:hAnsi="Courier New" w:eastAsia="Courier New"/>
          <w:sz w:val="17"/>
        </w:rPr>
        <w:t>analysis/joint_warm_start_fixed_o2_crosswalk.csv</w:t>
      </w:r>
    </w:p>
    <w:p>
      <w:pPr>
        <w:pStyle w:val="EvidencePath"/>
      </w:pPr>
      <w:r>
        <w:rPr>
          <w:rFonts w:ascii="Courier New" w:hAnsi="Courier New" w:eastAsia="Courier New"/>
          <w:sz w:val="17"/>
        </w:rPr>
        <w:t>joint_pre/.../tables/fixed_o2_ploidy_monotonicity_curves.tsv</w:t>
      </w:r>
    </w:p>
    <w:p>
      <w:pPr>
        <w:pStyle w:val="EvidencePath"/>
      </w:pPr>
      <w:r>
        <w:rPr>
          <w:rFonts w:ascii="Courier New" w:hAnsi="Courier New" w:eastAsia="Courier New"/>
          <w:sz w:val="17"/>
        </w:rPr>
        <w:t>top10/fit_invivo_O2_buffering_500seed/seed*/burden_fit.tsv</w:t>
      </w:r>
    </w:p>
    <w:p>
      <w:pPr>
        <w:keepLines w:val="0"/>
      </w:pPr>
      <w:r>
        <w:rPr>
          <w:rFonts w:ascii="Arial" w:hAnsi="Arial" w:eastAsia="Arial"/>
          <w:b/>
          <w:sz w:val="21"/>
        </w:rPr>
        <w:t xml:space="preserve">Why this is a concern: </w:t>
      </w:r>
      <w:r>
        <w:rPr>
          <w:rFonts w:ascii="Arial" w:hAnsi="Arial" w:eastAsia="Arial"/>
          <w:sz w:val="21"/>
        </w:rPr>
        <w:t>The dominant eigenvector is asymptotic. When the first two eigenmodes are weakly separated, the claimed long-run composition may not dominate during the observed experiment and can be sensitive to perturbation. Pooled class counts can therefore overstate stable regime prevalence.</w:t>
      </w:r>
    </w:p>
    <w:p>
      <w:pPr>
        <w:keepLines w:val="0"/>
      </w:pPr>
      <w:r>
        <w:rPr>
          <w:rFonts w:ascii="Arial" w:hAnsi="Arial" w:eastAsia="Arial"/>
          <w:b/>
          <w:sz w:val="21"/>
        </w:rPr>
        <w:t xml:space="preserve">Verification level: </w:t>
      </w:r>
      <w:r>
        <w:rPr>
          <w:rFonts w:ascii="Arial" w:hAnsi="Arial" w:eastAsia="Arial"/>
          <w:sz w:val="21"/>
        </w:rPr>
        <w:t>Confirmed for all 500 supplied fixed-O2 classifications and the six selected warm starts.</w:t>
      </w:r>
    </w:p>
    <w:p>
      <w:pPr>
        <w:keepLines w:val="0"/>
      </w:pPr>
      <w:r>
        <w:rPr>
          <w:rFonts w:ascii="Arial" w:hAnsi="Arial" w:eastAsia="Arial"/>
          <w:b/>
          <w:sz w:val="21"/>
        </w:rPr>
        <w:t xml:space="preserve">Impact: </w:t>
      </w:r>
      <w:r>
        <w:rPr>
          <w:rFonts w:ascii="Arial" w:hAnsi="Arial" w:eastAsia="Arial"/>
          <w:sz w:val="21"/>
        </w:rPr>
        <w:t>High for Figure 6, the regime narrative, and the rationale used to select/interpret joint starts.</w:t>
      </w:r>
    </w:p>
    <w:p>
      <w:pPr>
        <w:keepLines w:val="0"/>
      </w:pPr>
      <w:r>
        <w:rPr>
          <w:rFonts w:ascii="Arial" w:hAnsi="Arial" w:eastAsia="Arial"/>
          <w:b/>
          <w:sz w:val="21"/>
        </w:rPr>
        <w:t xml:space="preserve">Required revision and acceptance criterion: </w:t>
      </w:r>
      <w:r>
        <w:rPr>
          <w:rFonts w:ascii="Arial" w:hAnsi="Arial" w:eastAsia="Arial"/>
          <w:sz w:val="21"/>
        </w:rPr>
        <w:t>Show reliability-stratified main results, finite-time matrix-exponential trajectories at actual harvest horizons, threshold and classifier sensitivity, and mode-cutoff or continuous-outcome sensitivity. Display the reliability of each selected warm start.</w:t>
      </w:r>
    </w:p>
    <w:p>
      <w:pPr>
        <w:keepLines w:val="0"/>
      </w:pPr>
      <w:r>
        <w:rPr>
          <w:rFonts w:ascii="Arial" w:hAnsi="Arial" w:eastAsia="Arial"/>
          <w:b/>
          <w:sz w:val="21"/>
        </w:rPr>
        <w:t xml:space="preserve">External methodological basis: </w:t>
      </w:r>
      <w:r>
        <w:rPr>
          <w:rFonts w:ascii="Arial" w:hAnsi="Arial" w:eastAsia="Arial"/>
          <w:sz w:val="21"/>
        </w:rPr>
        <w:t>No external premise is required; the relaxation-time consequence follows from the manuscript-defined spectral gap of the fixed-O2 linear operator.</w:t>
      </w:r>
    </w:p>
    <w:p>
      <w:pPr>
        <w:pStyle w:val="Heading1"/>
      </w:pPr>
      <w:r>
        <w:t>Major Comment 8: Separate biological nonviability from finite-grid loss and repair the necrosis audit</w:t>
      </w:r>
    </w:p>
    <w:p>
      <w:pPr>
        <w:keepLines w:val="0"/>
      </w:pPr>
      <w:r>
        <w:rPr>
          <w:rFonts w:ascii="Arial" w:hAnsi="Arial" w:eastAsia="Arial"/>
          <w:b/>
          <w:sz w:val="21"/>
        </w:rPr>
        <w:t xml:space="preserve">Review comment: </w:t>
      </w:r>
      <w:r>
        <w:rPr>
          <w:rFonts w:ascii="Arial" w:hAnsi="Arial" w:eastAsia="Arial"/>
          <w:sz w:val="21"/>
        </w:rPr>
        <w:t>Disaggregate CIN-dead inflow, test chromosome-grid sensitivity, and provide complete per-sample necrosis exports.</w:t>
      </w:r>
    </w:p>
    <w:p>
      <w:pPr>
        <w:keepLines w:val="0"/>
      </w:pPr>
      <w:r>
        <w:rPr>
          <w:rFonts w:ascii="Arial" w:hAnsi="Arial" w:eastAsia="Arial"/>
          <w:b/>
          <w:sz w:val="21"/>
        </w:rPr>
        <w:t xml:space="preserve">Manuscript basis: </w:t>
      </w:r>
      <w:r>
        <w:rPr>
          <w:rFonts w:ascii="Arial" w:hAnsi="Arial" w:eastAsia="Arial"/>
          <w:sz w:val="21"/>
        </w:rPr>
        <w:t>In vitro mechanism Results, line 100; implementation limitation, line 242; dead-pool and boundary equations, lines 300-469; necrosis observation model, lines 615-679.</w:t>
      </w:r>
    </w:p>
    <w:p>
      <w:pPr>
        <w:keepLines w:val="0"/>
      </w:pPr>
      <w:r>
        <w:rPr>
          <w:rFonts w:ascii="Arial" w:hAnsi="Arial" w:eastAsia="Arial"/>
          <w:b/>
          <w:sz w:val="21"/>
        </w:rPr>
        <w:t xml:space="preserve">Result and code evidence: </w:t>
      </w:r>
      <w:r>
        <w:rPr>
          <w:rFonts w:ascii="Arial" w:hAnsi="Arial" w:eastAsia="Arial"/>
          <w:sz w:val="21"/>
        </w:rPr>
        <w:t>The retained grid is N = 22-154. The same CIN-associated dead compartment receives non-buffered daughter mass, lower/upper out-of-grid daughter mass, and out-of-grid WGD mass. In selected in vitro fits, max CIN-dead fraction is 0.3215-0.3340, while max direct hypoxia-dead fraction is 0.0174-0.0182. The standard necrosis_fit.tsv exports have all predicted fields missing, although reconstruction from burden states reproduces the reported necrosis objective. Six tumors have mapped necrosis observations.</w:t>
      </w:r>
    </w:p>
    <w:p>
      <w:pPr>
        <w:keepLines w:val="0"/>
      </w:pPr>
      <w:r>
        <w:rPr>
          <w:rFonts w:ascii="Arial" w:hAnsi="Arial" w:eastAsia="Arial"/>
          <w:b/>
          <w:sz w:val="21"/>
        </w:rPr>
        <w:t xml:space="preserve">Evidence paths: </w:t>
      </w:r>
      <w:r>
        <w:rPr>
          <w:rFonts w:ascii="Arial" w:hAnsi="Arial" w:eastAsia="Arial"/>
          <w:sz w:val="21"/>
        </w:rPr>
      </w:r>
    </w:p>
    <w:p>
      <w:pPr>
        <w:pStyle w:val="EvidencePath"/>
      </w:pPr>
      <w:r>
        <w:rPr>
          <w:rFonts w:ascii="Courier New" w:hAnsi="Courier New" w:eastAsia="Courier New"/>
          <w:sz w:val="17"/>
        </w:rPr>
        <w:t>analysis/invitro_top10_robustness.csv</w:t>
      </w:r>
    </w:p>
    <w:p>
      <w:pPr>
        <w:pStyle w:val="EvidencePath"/>
      </w:pPr>
      <w:r>
        <w:rPr>
          <w:rFonts w:ascii="Courier New" w:hAnsi="Courier New" w:eastAsia="Courier New"/>
          <w:sz w:val="17"/>
        </w:rPr>
        <w:t>analysis/invivo_top10_fit_quality.csv</w:t>
      </w:r>
    </w:p>
    <w:p>
      <w:pPr>
        <w:pStyle w:val="EvidencePath"/>
      </w:pPr>
      <w:r>
        <w:rPr>
          <w:rFonts w:ascii="Courier New" w:hAnsi="Courier New" w:eastAsia="Courier New"/>
          <w:sz w:val="17"/>
        </w:rPr>
        <w:t>top10/fit_invivo_O2_buffering_500seed/seed*/necrosis_fit.tsv</w:t>
      </w:r>
    </w:p>
    <w:p>
      <w:pPr>
        <w:pStyle w:val="EvidencePath"/>
      </w:pPr>
      <w:r>
        <w:rPr>
          <w:rFonts w:ascii="Courier New" w:hAnsi="Courier New" w:eastAsia="Courier New"/>
          <w:sz w:val="17"/>
        </w:rPr>
        <w:t>top10/fit_invivo_O2_buffering_500seed/seed*/burden_fit.tsv</w:t>
      </w:r>
    </w:p>
    <w:p>
      <w:pPr>
        <w:pStyle w:val="EvidencePath"/>
      </w:pPr>
      <w:r>
        <w:rPr>
          <w:rFonts w:ascii="Courier New" w:hAnsi="Courier New" w:eastAsia="Courier New"/>
          <w:sz w:val="17"/>
        </w:rPr>
        <w:t>Repo: oxygen/code/O2_supply_demand_MAP/model/model_O2_supply_demand_MAP.cpp</w:t>
      </w:r>
    </w:p>
    <w:p>
      <w:pPr>
        <w:keepLines w:val="0"/>
      </w:pPr>
      <w:r>
        <w:rPr>
          <w:rFonts w:ascii="Arial" w:hAnsi="Arial" w:eastAsia="Arial"/>
          <w:b/>
          <w:sz w:val="21"/>
        </w:rPr>
        <w:t xml:space="preserve">Why this is a concern: </w:t>
      </w:r>
      <w:r>
        <w:rPr>
          <w:rFonts w:ascii="Arial" w:hAnsi="Arial" w:eastAsia="Arial"/>
          <w:sz w:val="21"/>
        </w:rPr>
        <w:t>A compartment dominated by boundary routing cannot be interpreted quantitatively as biological CIN lethality without separation and grid sensitivity. Missing predicted necrosis fields prevent the standard output from reproducing a fitted data stream row by row.</w:t>
      </w:r>
    </w:p>
    <w:p>
      <w:pPr>
        <w:keepLines w:val="0"/>
      </w:pPr>
      <w:r>
        <w:rPr>
          <w:rFonts w:ascii="Arial" w:hAnsi="Arial" w:eastAsia="Arial"/>
          <w:b/>
          <w:sz w:val="21"/>
        </w:rPr>
        <w:t xml:space="preserve">Verification level: </w:t>
      </w:r>
      <w:r>
        <w:rPr>
          <w:rFonts w:ascii="Arial" w:hAnsi="Arial" w:eastAsia="Arial"/>
          <w:sz w:val="21"/>
        </w:rPr>
        <w:t>Confirmed across the selected in vitro and in vivo outputs and the model implementation. Grid-expansion sensitivity was not supplied.</w:t>
      </w:r>
    </w:p>
    <w:p>
      <w:pPr>
        <w:keepLines w:val="0"/>
      </w:pPr>
      <w:r>
        <w:rPr>
          <w:rFonts w:ascii="Arial" w:hAnsi="Arial" w:eastAsia="Arial"/>
          <w:b/>
          <w:sz w:val="21"/>
        </w:rPr>
        <w:t xml:space="preserve">Impact: </w:t>
      </w:r>
      <w:r>
        <w:rPr>
          <w:rFonts w:ascii="Arial" w:hAnsi="Arial" w:eastAsia="Arial"/>
          <w:sz w:val="21"/>
        </w:rPr>
        <w:t>High for the claim that chromosome-number decline occurs through viable descendants rather than direct killing, and medium-high for necrosis fit auditability.</w:t>
      </w:r>
    </w:p>
    <w:p>
      <w:pPr>
        <w:keepLines w:val="0"/>
      </w:pPr>
      <w:r>
        <w:rPr>
          <w:rFonts w:ascii="Arial" w:hAnsi="Arial" w:eastAsia="Arial"/>
          <w:b/>
          <w:sz w:val="21"/>
        </w:rPr>
        <w:t xml:space="preserve">Required revision and acceptance criterion: </w:t>
      </w:r>
      <w:r>
        <w:rPr>
          <w:rFonts w:ascii="Arial" w:hAnsi="Arial" w:eastAsia="Arial"/>
          <w:sz w:val="21"/>
        </w:rPr>
        <w:t>Export biological nonviability and each boundary-loss source separately; repeat key fits/derived summaries with expanded chromosome grids; state necrosis n = 6; repair the per-sample export; and add an automated test that reconstructs the necrosis objective exactly.</w:t>
      </w:r>
    </w:p>
    <w:p>
      <w:pPr>
        <w:keepLines w:val="0"/>
      </w:pPr>
      <w:r>
        <w:rPr>
          <w:rFonts w:ascii="Arial" w:hAnsi="Arial" w:eastAsia="Arial"/>
          <w:b/>
          <w:sz w:val="21"/>
        </w:rPr>
        <w:t xml:space="preserve">External methodological basis: </w:t>
      </w:r>
      <w:r>
        <w:rPr>
          <w:rFonts w:ascii="Arial" w:hAnsi="Arial" w:eastAsia="Arial"/>
          <w:sz w:val="21"/>
        </w:rPr>
        <w:t>No external premise is required; this follows directly from the finite-state routing and exported outputs.</w:t>
      </w:r>
    </w:p>
    <w:p>
      <w:pPr>
        <w:pStyle w:val="Heading1"/>
      </w:pPr>
      <w:r>
        <w:t>Major Comment 9: Synchronize the manuscript, repository, figures, tables, and computational provenance</w:t>
      </w:r>
    </w:p>
    <w:p>
      <w:pPr>
        <w:keepLines w:val="0"/>
      </w:pPr>
      <w:r>
        <w:rPr>
          <w:rFonts w:ascii="Arial" w:hAnsi="Arial" w:eastAsia="Arial"/>
          <w:b/>
          <w:sz w:val="21"/>
        </w:rPr>
        <w:t xml:space="preserve">Review comment: </w:t>
      </w:r>
      <w:r>
        <w:rPr>
          <w:rFonts w:ascii="Arial" w:hAnsi="Arial" w:eastAsia="Arial"/>
          <w:sz w:val="21"/>
        </w:rPr>
        <w:t>Create one clean, tagged, executable release in which every manuscript claim and figure is linked to exact code and intermediate data.</w:t>
      </w:r>
    </w:p>
    <w:p>
      <w:pPr>
        <w:keepLines w:val="0"/>
      </w:pPr>
      <w:r>
        <w:rPr>
          <w:rFonts w:ascii="Arial" w:hAnsi="Arial" w:eastAsia="Arial"/>
          <w:b/>
          <w:sz w:val="21"/>
        </w:rPr>
        <w:t xml:space="preserve">Manuscript basis: </w:t>
      </w:r>
      <w:r>
        <w:rPr>
          <w:rFonts w:ascii="Arial" w:hAnsi="Arial" w:eastAsia="Arial"/>
          <w:sz w:val="21"/>
        </w:rPr>
        <w:t>Figure and table references, lines 132-221 and 990-997; revised analysis methods, lines 949-963; Discussion implementation caveat, line 242.</w:t>
      </w:r>
    </w:p>
    <w:p>
      <w:pPr>
        <w:keepLines w:val="0"/>
      </w:pPr>
      <w:r>
        <w:rPr>
          <w:rFonts w:ascii="Arial" w:hAnsi="Arial" w:eastAsia="Arial"/>
          <w:b/>
          <w:sz w:val="21"/>
        </w:rPr>
        <w:t xml:space="preserve">Result and code evidence: </w:t>
      </w:r>
      <w:r>
        <w:rPr>
          <w:rFonts w:ascii="Arial" w:hAnsi="Arial" w:eastAsia="Arial"/>
          <w:sz w:val="21"/>
        </w:rPr>
        <w:t>The revised manuscript is supplied as pasted text rather than the branch manuscript. The branch manuscript remains an earlier draft. The revised source inputs tao_joint_function_contrasts.tex, which is absent from the branch. The manuscript response-class method and counts do not match the supplied classifier outputs. Selected in vivo and joint provenance records identify different commits and dirty worktrees; selected in vitro directories lack equivalent provenance. A definitive seed-level Figure 4 AUC source table was not located.</w:t>
      </w:r>
    </w:p>
    <w:p>
      <w:pPr>
        <w:keepLines w:val="0"/>
      </w:pPr>
      <w:r>
        <w:rPr>
          <w:rFonts w:ascii="Arial" w:hAnsi="Arial" w:eastAsia="Arial"/>
          <w:b/>
          <w:sz w:val="21"/>
        </w:rPr>
        <w:t xml:space="preserve">Evidence paths: </w:t>
      </w:r>
      <w:r>
        <w:rPr>
          <w:rFonts w:ascii="Arial" w:hAnsi="Arial" w:eastAsia="Arial"/>
          <w:sz w:val="21"/>
        </w:rPr>
      </w:r>
    </w:p>
    <w:p>
      <w:pPr>
        <w:pStyle w:val="EvidencePath"/>
      </w:pPr>
      <w:r>
        <w:rPr>
          <w:rFonts w:ascii="Courier New" w:hAnsi="Courier New" w:eastAsia="Courier New"/>
          <w:sz w:val="17"/>
        </w:rPr>
        <w:t>Revised manuscript: Pasted text.txt</w:t>
      </w:r>
    </w:p>
    <w:p>
      <w:pPr>
        <w:pStyle w:val="EvidencePath"/>
      </w:pPr>
      <w:r>
        <w:rPr>
          <w:rFonts w:ascii="Courier New" w:hAnsi="Courier New" w:eastAsia="Courier New"/>
          <w:sz w:val="17"/>
        </w:rPr>
        <w:t>Repo: manuscript/ltee_hypoxia_model.tex on HypoxiaLTEEFigures</w:t>
      </w:r>
    </w:p>
    <w:p>
      <w:pPr>
        <w:pStyle w:val="EvidencePath"/>
      </w:pPr>
      <w:r>
        <w:rPr>
          <w:rFonts w:ascii="Courier New" w:hAnsi="Courier New" w:eastAsia="Courier New"/>
          <w:sz w:val="17"/>
        </w:rPr>
        <w:t>analysis/provenance_audit.csv</w:t>
      </w:r>
    </w:p>
    <w:p>
      <w:pPr>
        <w:pStyle w:val="EvidencePath"/>
      </w:pPr>
      <w:r>
        <w:rPr>
          <w:rFonts w:ascii="Courier New" w:hAnsi="Courier New" w:eastAsia="Courier New"/>
          <w:sz w:val="17"/>
        </w:rPr>
        <w:t>analysis/joint_pre_file_inventory.txt</w:t>
      </w:r>
    </w:p>
    <w:p>
      <w:pPr>
        <w:pStyle w:val="EvidencePath"/>
      </w:pPr>
      <w:r>
        <w:rPr>
          <w:rFonts w:ascii="Courier New" w:hAnsi="Courier New" w:eastAsia="Courier New"/>
          <w:sz w:val="17"/>
        </w:rPr>
        <w:t>analysis/joint_pre_AUC_file_inventory.txt</w:t>
      </w:r>
    </w:p>
    <w:p>
      <w:pPr>
        <w:pStyle w:val="EvidencePath"/>
      </w:pPr>
      <w:r>
        <w:rPr>
          <w:rFonts w:ascii="Courier New" w:hAnsi="Courier New" w:eastAsia="Courier New"/>
          <w:sz w:val="17"/>
        </w:rPr>
        <w:t>joint_pre/.../tables/*</w:t>
      </w:r>
    </w:p>
    <w:p>
      <w:pPr>
        <w:keepLines w:val="0"/>
      </w:pPr>
      <w:r>
        <w:rPr>
          <w:rFonts w:ascii="Arial" w:hAnsi="Arial" w:eastAsia="Arial"/>
          <w:b/>
          <w:sz w:val="21"/>
        </w:rPr>
        <w:t xml:space="preserve">Why this is a concern: </w:t>
      </w:r>
      <w:r>
        <w:rPr>
          <w:rFonts w:ascii="Arial" w:hAnsi="Arial" w:eastAsia="Arial"/>
          <w:sz w:val="21"/>
        </w:rPr>
        <w:t>The remaining scientific disagreements cannot be resolved when manuscript text, active code, figures, and source tables represent different analysis versions. Dirty or incomplete provenance also prevents exact reruns of a code-sensitive mechanistic model.</w:t>
      </w:r>
    </w:p>
    <w:p>
      <w:pPr>
        <w:keepLines w:val="0"/>
      </w:pPr>
      <w:r>
        <w:rPr>
          <w:rFonts w:ascii="Arial" w:hAnsi="Arial" w:eastAsia="Arial"/>
          <w:b/>
          <w:sz w:val="21"/>
        </w:rPr>
        <w:t xml:space="preserve">Verification level: </w:t>
      </w:r>
      <w:r>
        <w:rPr>
          <w:rFonts w:ascii="Arial" w:hAnsi="Arial" w:eastAsia="Arial"/>
          <w:sz w:val="21"/>
        </w:rPr>
        <w:t>Confirmed for the reviewed branch and supplied archives.</w:t>
      </w:r>
    </w:p>
    <w:p>
      <w:pPr>
        <w:keepLines w:val="0"/>
      </w:pPr>
      <w:r>
        <w:rPr>
          <w:rFonts w:ascii="Arial" w:hAnsi="Arial" w:eastAsia="Arial"/>
          <w:b/>
          <w:sz w:val="21"/>
        </w:rPr>
        <w:t xml:space="preserve">Impact: </w:t>
      </w:r>
      <w:r>
        <w:rPr>
          <w:rFonts w:ascii="Arial" w:hAnsi="Arial" w:eastAsia="Arial"/>
          <w:sz w:val="21"/>
        </w:rPr>
        <w:t>Critical for reproducibility, figure verification, and final editorial assessment.</w:t>
      </w:r>
    </w:p>
    <w:p>
      <w:pPr>
        <w:keepLines w:val="0"/>
      </w:pPr>
      <w:r>
        <w:rPr>
          <w:rFonts w:ascii="Arial" w:hAnsi="Arial" w:eastAsia="Arial"/>
          <w:b/>
          <w:sz w:val="21"/>
        </w:rPr>
        <w:t xml:space="preserve">Required revision and acceptance criterion: </w:t>
      </w:r>
      <w:r>
        <w:rPr>
          <w:rFonts w:ascii="Arial" w:hAnsi="Arial" w:eastAsia="Arial"/>
          <w:sz w:val="21"/>
        </w:rPr>
        <w:t>Provide a clean tagged release or archived commit/patch; a manuscript that compiles from that release; resolved configuration and parameter tables; complete seed manifests and intermediate tables; package/container versions; checksums; and a figure-to-script-to-source-table manifest. Every headline numerical claim should map to an archived machine-readable row set.</w:t>
      </w:r>
    </w:p>
    <w:p>
      <w:pPr>
        <w:keepLines w:val="0"/>
      </w:pPr>
      <w:r>
        <w:rPr>
          <w:rFonts w:ascii="Arial" w:hAnsi="Arial" w:eastAsia="Arial"/>
          <w:b/>
          <w:sz w:val="21"/>
        </w:rPr>
        <w:t xml:space="preserve">External methodological basis: </w:t>
      </w:r>
      <w:r>
        <w:rPr>
          <w:rFonts w:ascii="Arial" w:hAnsi="Arial" w:eastAsia="Arial"/>
          <w:sz w:val="21"/>
        </w:rPr>
        <w:t>Sandve et al., PLoS Computational Biology 2013, Rules 1, 3, 4, 5, 7, 9, and 10, specifically support result-level provenance, exact software versions, version control, retained intermediate and plot-source data, linkage between claims and results, and public access (doi:10.1371/journal.pcbi.1003285).</w:t>
      </w:r>
    </w:p>
    <w:p>
      <w:pPr>
        <w:pStyle w:val="Heading1"/>
      </w:pPr>
      <w:r>
        <w:t>Methodological References</w:t>
      </w:r>
    </w:p>
    <w:p>
      <w:r>
        <w:rPr>
          <w:rFonts w:ascii="Arial" w:hAnsi="Arial" w:eastAsia="Arial"/>
          <w:b/>
          <w:sz w:val="21"/>
        </w:rPr>
        <w:t xml:space="preserve">1. </w:t>
      </w:r>
      <w:r>
        <w:rPr>
          <w:rFonts w:ascii="Arial" w:hAnsi="Arial" w:eastAsia="Arial"/>
          <w:sz w:val="21"/>
        </w:rPr>
        <w:t>Raue A, Kreutz C, Maiwald T, et al. Structural and practical identifiability analysis of partially observed dynamical models by exploiting the profile likelihood. Bioinformatics. 2009;25(15):1923-1929. doi:10.1093/bioinformatics/btp358. Relevant locations: Abstract; Introduction; Section 2.3.2, Practical non-identifiability; Discussion.</w:t>
      </w:r>
    </w:p>
    <w:p>
      <w:r>
        <w:rPr>
          <w:rFonts w:ascii="Arial" w:hAnsi="Arial" w:eastAsia="Arial"/>
          <w:b/>
          <w:sz w:val="21"/>
        </w:rPr>
        <w:t xml:space="preserve">2. </w:t>
      </w:r>
      <w:r>
        <w:rPr>
          <w:rFonts w:ascii="Arial" w:hAnsi="Arial" w:eastAsia="Arial"/>
          <w:sz w:val="21"/>
        </w:rPr>
        <w:t>Kobak D, Berens P. The art of using t-SNE for single-cell transcriptomics. Nature Communications. 2019;10:5416. doi:10.1038/s41467-019-13056-x. Relevant locations: Abstract; Introduction paragraphs explaining that global cluster geometry can be arbitrary and initialization-dependent; Discussion.</w:t>
      </w:r>
    </w:p>
    <w:p>
      <w:r>
        <w:rPr>
          <w:rFonts w:ascii="Arial" w:hAnsi="Arial" w:eastAsia="Arial"/>
          <w:b/>
          <w:sz w:val="21"/>
        </w:rPr>
        <w:t xml:space="preserve">3. </w:t>
      </w:r>
      <w:r>
        <w:rPr>
          <w:rFonts w:ascii="Arial" w:hAnsi="Arial" w:eastAsia="Arial"/>
          <w:sz w:val="21"/>
        </w:rPr>
        <w:t>Sandve GK, Nekrutenko A, Taylor J, Hovig E. Ten Simple Rules for Reproducible Computational Research. PLoS Computational Biology. 2013;9(10):e1003285. doi:10.1371/journal.pcbi.1003285. Relevant locations: Rules 1, 3, 4, 5, 7, 9, and 10.</w:t>
      </w:r>
    </w:p>
    <w:sectPr>
      <w:headerReference w:type="default" r:id="rId9"/>
      <w:footerReference w:type="default" r:id="rId10"/>
      <w:pgSz w:w="12240" w:h="15840"/>
      <w:pgMar w:top="1080" w:right="1224" w:bottom="1037" w:left="1224"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46464"/>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color w:val="646464"/>
        <w:sz w:val="16"/>
      </w:rPr>
      <w:t>Major Comment Evidence Crosswalk - Revised SUM159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F4E79"/>
      <w:sz w:val="27"/>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3C3C3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Arial" w:hAnsi="Arial" w:eastAsia="Arial"/>
      <w:b/>
      <w:i/>
      <w:iCs/>
      <w:color w:val="50505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Path">
    <w:name w:val="Evidence Path"/>
    <w:basedOn w:val="Normal"/>
    <w:pPr>
      <w:keepLines/>
      <w:spacing w:before="20" w:after="80"/>
      <w:ind w:left="317" w:right="144"/>
    </w:pPr>
    <w:rPr>
      <w:rFonts w:ascii="Courier New" w:hAnsi="Courier New" w:eastAsia="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Independent peer review of revised manuscript</dc:subject>
  <dc:creator/>
  <cp:keywords>peer review; computational oncology; ploidy; chromosome instability</cp:keywords>
  <dc:description>generated by python-docx</dc:description>
  <cp:lastModifiedBy/>
  <cp:revision>1</cp:revision>
  <dcterms:created xsi:type="dcterms:W3CDTF">2013-12-23T23:15:00Z</dcterms:created>
  <dcterms:modified xsi:type="dcterms:W3CDTF">2013-12-23T23:15:00Z</dcterms:modified>
  <cp:category/>
</cp:coreProperties>
</file>