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color w:val="1F4E79"/>
          <w:sz w:val="36"/>
        </w:rPr>
        <w:t>Peer Review Report</w:t>
      </w:r>
    </w:p>
    <w:p>
      <w:pPr>
        <w:pStyle w:val="Subtitle"/>
        <w:jc w:val="center"/>
      </w:pPr>
      <w:r>
        <w:rPr>
          <w:rFonts w:ascii="Arial" w:hAnsi="Arial" w:eastAsia="Arial"/>
          <w:color w:val="505050"/>
          <w:sz w:val="21"/>
        </w:rPr>
        <w:t>Revised manuscript review</w:t>
      </w:r>
    </w:p>
    <w:p/>
    <w:p>
      <w:pPr>
        <w:spacing w:after="40"/>
      </w:pPr>
      <w:r>
        <w:rPr>
          <w:rFonts w:ascii="Arial" w:hAnsi="Arial" w:eastAsia="Arial"/>
          <w:b/>
          <w:sz w:val="21"/>
        </w:rPr>
        <w:t xml:space="preserve">Manuscript: </w:t>
      </w:r>
      <w:r>
        <w:rPr>
          <w:rFonts w:ascii="Arial" w:hAnsi="Arial" w:eastAsia="Arial"/>
          <w:sz w:val="21"/>
        </w:rPr>
        <w:t>A resource-stress model identifies context-dependent regimes of chromosome instability and ploidy evolution in matched SUM159 culture and tumor models</w:t>
      </w:r>
    </w:p>
    <w:p>
      <w:pPr>
        <w:spacing w:after="40"/>
      </w:pPr>
      <w:r>
        <w:rPr>
          <w:rFonts w:ascii="Arial" w:hAnsi="Arial" w:eastAsia="Arial"/>
          <w:b/>
          <w:sz w:val="21"/>
        </w:rPr>
        <w:t xml:space="preserve">Review stage: </w:t>
      </w:r>
      <w:r>
        <w:rPr>
          <w:rFonts w:ascii="Arial" w:hAnsi="Arial" w:eastAsia="Arial"/>
          <w:sz w:val="21"/>
        </w:rPr>
        <w:t>Independent review of the revised manuscript</w:t>
      </w:r>
    </w:p>
    <w:p>
      <w:pPr>
        <w:spacing w:after="40"/>
      </w:pPr>
      <w:r>
        <w:rPr>
          <w:rFonts w:ascii="Arial" w:hAnsi="Arial" w:eastAsia="Arial"/>
          <w:b/>
          <w:sz w:val="21"/>
        </w:rPr>
        <w:t xml:space="preserve">Materials reviewed: </w:t>
      </w:r>
      <w:r>
        <w:rPr>
          <w:rFonts w:ascii="Arial" w:hAnsi="Arial" w:eastAsia="Arial"/>
          <w:sz w:val="21"/>
        </w:rPr>
        <w:t>Revised LaTeX manuscript, top10.zip, joint_pre.zip, and the HypoxiaLTEEFigures repository branch</w:t>
      </w:r>
    </w:p>
    <w:p>
      <w:pPr>
        <w:spacing w:after="40"/>
      </w:pPr>
      <w:r>
        <w:rPr>
          <w:rFonts w:ascii="Arial" w:hAnsi="Arial" w:eastAsia="Arial"/>
          <w:b/>
          <w:sz w:val="21"/>
        </w:rPr>
        <w:t xml:space="preserve">Review date: </w:t>
      </w:r>
      <w:r>
        <w:rPr>
          <w:rFonts w:ascii="Arial" w:hAnsi="Arial" w:eastAsia="Arial"/>
          <w:sz w:val="21"/>
        </w:rPr>
        <w:t>July 28, 2026</w:t>
      </w:r>
    </w:p>
    <w:p>
      <w:pPr>
        <w:spacing w:before="160"/>
      </w:pPr>
      <w:r>
        <w:rPr>
          <w:rFonts w:ascii="Arial" w:hAnsi="Arial" w:eastAsia="Arial"/>
          <w:b/>
          <w:color w:val="1F4E79"/>
          <w:sz w:val="23"/>
        </w:rPr>
        <w:t xml:space="preserve">Recommendation: </w:t>
      </w:r>
      <w:r>
        <w:rPr>
          <w:rFonts w:ascii="Arial" w:hAnsi="Arial" w:eastAsia="Arial"/>
          <w:b/>
          <w:color w:val="9D3121"/>
          <w:sz w:val="23"/>
        </w:rPr>
        <w:t>Major Revision</w:t>
      </w:r>
    </w:p>
    <w:p>
      <w:pPr>
        <w:pStyle w:val="Heading1"/>
      </w:pPr>
      <w:r>
        <w:t>Overall Assessment</w:t>
      </w:r>
    </w:p>
    <w:p>
      <w:r>
        <w:rPr>
          <w:rFonts w:ascii="Arial" w:hAnsi="Arial" w:eastAsia="Arial"/>
          <w:i w:val="0"/>
          <w:sz w:val="21"/>
        </w:rPr>
        <w:t>The revised manuscript is substantially stronger than the earlier version. It now distinguishes measured from model-inferred chromosome-number trajectories, acknowledges that the culture and tumor experiments are not biological replicates, correctly describes all 14 overlapping biological parameters as soft-coupled under a bounded Welsch penalty, evaluates post-missegregation survival at the level of the complete nonlinear function, and explicitly reports important fit, boundary, convergence, and spectral-gap limitations. The revised Abstract is appropriately cautious, and the manuscript no longer presents optimizer seeds as biological replicates or fitted oxygen as a direct causal measurement.</w:t>
      </w:r>
    </w:p>
    <w:p>
      <w:r>
        <w:rPr>
          <w:rFonts w:ascii="Arial" w:hAnsi="Arial" w:eastAsia="Arial"/>
          <w:i w:val="0"/>
          <w:sz w:val="21"/>
        </w:rPr>
        <w:t>The study remains scientifically interesting. The clearest supported observations are that the severe-deprivation 4N culture trajectory can decline in chromosome number while direct hypoxia-origin death remains small; that the selected joint solutions repeatedly estimate a lower maximal division rate in vivo; and that the complete fitted missegregation and altered-daughter survival functions differ between the two modeled contexts. The authors have also been transparent that the late divergence of the two deprived 2N branches is not reproduced and that many fixed-oxygen asymptotic regimes are weakly separated.</w:t>
      </w:r>
    </w:p>
    <w:p>
      <w:r>
        <w:rPr>
          <w:rFonts w:ascii="Arial" w:hAnsi="Arial" w:eastAsia="Arial"/>
          <w:i w:val="0"/>
          <w:sz w:val="21"/>
        </w:rPr>
        <w:t>Nevertheless, the manuscript is not yet ready for publication. Several remaining problems are analytical rather than editorial. Most importantly, the revised fixed-O2 response-class counts and LOESS-based classification method do not match the supplied joint_pre archive or the current repository driver; the Figure 6 objective overlay is described as complete MAP even though the supplied seed table records a raw burden-plus-ploidy likelihood; and claims made across all 3,000 joint runs cannot be audited from the supplied top-10-per-pair archive. In addition, the current all-soft joint model is close to two independently fitted component models once the bounded penalty saturates, but no shared, uncoupled, partial-coupling, or predictive model comparison is shown. These issues affect the central mechanistic interpretation and require regenerated analyses, synchronized source tables, and broader validation.</w:t>
      </w:r>
    </w:p>
    <w:p>
      <w:pPr>
        <w:pStyle w:val="Heading1"/>
      </w:pPr>
      <w:r>
        <w:t>Major Comments</w:t>
      </w:r>
    </w:p>
    <w:p>
      <w:pPr>
        <w:pStyle w:val="Heading2"/>
      </w:pPr>
      <w:r>
        <w:t>1. Establish what the joint model adds beyond two nearly independent component fits</w:t>
      </w:r>
    </w:p>
    <w:p>
      <w:r>
        <w:rPr>
          <w:rFonts w:ascii="Arial" w:hAnsi="Arial" w:eastAsia="Arial"/>
          <w:i w:val="0"/>
          <w:sz w:val="21"/>
        </w:rPr>
        <w:t>All 14 overlapping biological parameters are allowed to take context-specific values, and the Welsch penalty saturates for large transformed differences. Among the ten lowest-objective solutions from each warm-start pair, the total soft penalty occupies approximately 75.8-89.5% of its theoretical cap. For the best selected solution from the seed-366 pair, the in vivo plus in vitro data objective is 17.9849, compared with 17.9719 for the sum of the best separate objectives. For the seed-25 pair it is 17.9681. Thus, after allowing broad context separation, the joint model fits the data almost as two separate models and pays an almost saturated bounded penalty.</w:t>
      </w:r>
    </w:p>
    <w:p>
      <w:r>
        <w:rPr>
          <w:rFonts w:ascii="Arial" w:hAnsi="Arial" w:eastAsia="Arial"/>
          <w:i w:val="0"/>
          <w:sz w:val="21"/>
        </w:rPr>
        <w:t>The central claim is that joint fitting identifies context-dependent mechanisms, but the manuscript does not compare the reported model with a fully shared model, a fully uncoupled benchmark, or targeted partial-coupling models. Nor does it show held-out predictive improvement. Equal weights for the in vivo and in vitro objectives are stated but not justified or sensitivity-tested despite different observation structures and likelihood normalizations.</w:t>
      </w:r>
    </w:p>
    <w:p>
      <w:r>
        <w:rPr>
          <w:rFonts w:ascii="Arial" w:hAnsi="Arial" w:eastAsia="Arial"/>
          <w:i w:val="0"/>
          <w:sz w:val="21"/>
        </w:rPr>
        <w:t>Please compare at least four prespecified models: fully shared, the reported all-soft model, fully uncoupled component fits, and biologically motivated partial coupling or mechanism-ablation models. Use a criterion appropriate to penalized likelihood and, more importantly, held-out prediction by tumor, culture branch, or passage. Report sensitivity to Welsch c, sigma, and the in vivo/in vitro objective weights. Mechanistic differences should be called necessary only when they improve fit or prediction relative to simpler alternatives without relying on penalty saturation.</w:t>
      </w:r>
    </w:p>
    <w:p>
      <w:pPr>
        <w:pStyle w:val="Heading2"/>
      </w:pPr>
      <w:r>
        <w:t>2. Broaden and validate the joint warm-start and optimization design</w:t>
      </w:r>
    </w:p>
    <w:p>
      <w:r>
        <w:rPr>
          <w:rFonts w:ascii="Arial" w:hAnsi="Arial" w:eastAsia="Arial"/>
          <w:i w:val="0"/>
          <w:sz w:val="21"/>
        </w:rPr>
        <w:t>The six joint starts sample six in vivo subclusters but all are paired with the same in vitro seed 10. The selected in vivo subclusters have low-to-moderate average silhouettes of approximately 0.096, 0.179, and 0.330 in the standardized parameter-feature space. The primary clusters were selected from two-dimensional t-SNE coordinates, and the representatives are objective minima rather than medoids. The best retained joint objective varies materially across pairs (18.852-19.978), while the selected local refinements were not accepted.</w:t>
      </w:r>
    </w:p>
    <w:p>
      <w:r>
        <w:rPr>
          <w:rFonts w:ascii="Arial" w:hAnsi="Arial" w:eastAsia="Arial"/>
          <w:i w:val="0"/>
          <w:sz w:val="21"/>
        </w:rPr>
        <w:t>The design therefore explores six in vivo regions against a single in vitro anchor rather than the joint landscape. It cannot establish that the reported directions are stable to plausible in vitro solutions or to unsampled optimizer basins. Clustering on t-SNE coordinates also requires caution because t-SNE prioritizes local neighborhoods and can distort global inter-cluster geometry.</w:t>
      </w:r>
    </w:p>
    <w:p>
      <w:r>
        <w:rPr>
          <w:rFonts w:ascii="Arial" w:hAnsi="Arial" w:eastAsia="Arial"/>
          <w:i w:val="0"/>
          <w:sz w:val="21"/>
        </w:rPr>
        <w:t>Please include multiple in vitro representatives and analyze an in vivo-by-in vitro start matrix, or provide an equivalent systematic sensitivity analysis. Validate clusters in the original transformed parameter space with resampling or stability metrics; show both medoid and objective-minimum representatives; and repeat selected searches with larger iteration budgets or an alternative global/local optimizer. Until those checks are available, replace "retained differential-evolution basins" with "warm-start pair search ensembles" or similarly non-topological language.</w:t>
      </w:r>
    </w:p>
    <w:p>
      <w:pPr>
        <w:pStyle w:val="Heading2"/>
      </w:pPr>
      <w:r>
        <w:t>3. Reconcile the fixed-O2 response-class algorithm, counts, source tables, and Figure 6A</w:t>
      </w:r>
    </w:p>
    <w:p>
      <w:r>
        <w:rPr>
          <w:rFonts w:ascii="Arial" w:hAnsi="Arial" w:eastAsia="Arial"/>
          <w:i w:val="0"/>
          <w:sz w:val="21"/>
        </w:rPr>
        <w:t>The revised Results report 316 complex-nonmonotone, 50 inverted-U, 50 monotone-increasing, 47 U-shaped, 26 approximately flat, five increase-then-plateau, four decrease-then-plateau, and two monotone-decreasing curves. The revised Methods describe a versioned LOESS/persistent-segment classifier named loess_persistent_v1. By contrast, the supplied joint_pre table reports 261, 149, 57, 25, 0, 5, 0, and 3 curves in those categories, respectively, and records the earlier shape_first_v3 rule. The current repository driver calls classify_o2_ploidy_curve, the finite-difference classifier, rather than the newer classify_o2_ploidy_curve_smooth function.</w:t>
      </w:r>
    </w:p>
    <w:p>
      <w:r>
        <w:rPr>
          <w:rFonts w:ascii="Arial" w:hAnsi="Arial" w:eastAsia="Arial"/>
          <w:i w:val="0"/>
          <w:sz w:val="21"/>
        </w:rPr>
        <w:t>This is not a minor wording discrepancy: response-class prevalence is a headline result, and the two algorithms materially redistribute most of the 500 fits. The revised counts may come from a newer analysis, but the exact executable driver and corresponding 500-seed and 100,500-row outputs were not supplied and are not synchronized with the repository branch reviewed here.</w:t>
      </w:r>
    </w:p>
    <w:p>
      <w:r>
        <w:rPr>
          <w:rFonts w:ascii="Arial" w:hAnsi="Arial" w:eastAsia="Arial"/>
          <w:i w:val="0"/>
          <w:sz w:val="21"/>
        </w:rPr>
        <w:t>Please archive the exact classifier script and commit used for the revised counts, release the complete by-seed classification, smoothed curves, segment table, spectral-gap fields, and class-change audit, and regenerate Figure 6A and all associated text from those same files. The manuscript, repository, figure, and source table must expose one identical rule version and one identical set of class counts.</w:t>
      </w:r>
    </w:p>
    <w:p>
      <w:pPr>
        <w:pStyle w:val="Heading2"/>
      </w:pPr>
      <w:r>
        <w:t>4. Make the Figure 6 objective overlay and all-3,000-run claims directly auditable</w:t>
      </w:r>
    </w:p>
    <w:p>
      <w:r>
        <w:rPr>
          <w:rFonts w:ascii="Arial" w:hAnsi="Arial" w:eastAsia="Arial"/>
          <w:i w:val="0"/>
          <w:sz w:val="21"/>
        </w:rPr>
        <w:t>The revised Results and Figure 6C caption state that response classes are overlaid with the complete fitted in vivo MAP objective. However, every record in the supplied fixed-O2 by-seed table has objective_source = raw_likelihood, representing raw burden plus ploidy likelihood rather than the complete MAP objective. The Spearman correlation between this field and the separate-fit MAP objective is only 0.429, so the seed ranking can change substantially.</w:t>
      </w:r>
    </w:p>
    <w:p>
      <w:r>
        <w:rPr>
          <w:rFonts w:ascii="Arial" w:hAnsi="Arial" w:eastAsia="Arial"/>
          <w:i w:val="0"/>
          <w:sz w:val="21"/>
        </w:rPr>
        <w:t>The revised manuscript also states that survival directions hold in all 3,000 joint solutions, that all 3,000 solutions contain an active bound, that all 3,000 differential-evolution runs stopped early, and that all local refinements were rejected. The supplied top10 archive contains detailed outputs for only ten solutions per pair, or 60 solutions in total, and no complete 3,000-row parameter/function/bound table was found. The referenced tao_joint_function_contrasts.tex file is also absent from the reviewed repository branch.</w:t>
      </w:r>
    </w:p>
    <w:p>
      <w:r>
        <w:rPr>
          <w:rFonts w:ascii="Arial" w:hAnsi="Arial" w:eastAsia="Arial"/>
          <w:i w:val="0"/>
          <w:sz w:val="21"/>
        </w:rPr>
        <w:t>Please release the exact 500-seed Figure 6 objective crosswalk and regenerate the panel from the complete MAP objective, or label it consistently as raw likelihood. Also release one machine-readable row per joint run with pair, seed, objective components, parameters, reconstructed context values, bound status, derived missegregation and survival contrasts, iteration count, stop reason, and local-refinement result. If this cannot be supplied, restrict claims and percentile intervals to the 60 detailed solutions that can be audited. The same requirement applies to the exact seed-level input and output tables underlying the reported Figure 4 AUC values.</w:t>
      </w:r>
    </w:p>
    <w:p>
      <w:pPr>
        <w:pStyle w:val="Heading2"/>
      </w:pPr>
      <w:r>
        <w:t>5. Perform formal practical-identifiability and bound-sensitivity analyses</w:t>
      </w:r>
    </w:p>
    <w:p>
      <w:r>
        <w:rPr>
          <w:rFonts w:ascii="Arial" w:hAnsi="Arial" w:eastAsia="Arial"/>
          <w:i w:val="0"/>
          <w:sz w:val="21"/>
        </w:rPr>
        <w:t>The revised manuscript appropriately acknowledges practical non-identifiability, but it does not quantify it. The ten lowest-objective separate in vivo fits have nearly identical objectives while several mechanistic parameters vary widely, and sigma_burden reaches its upper bound in all ten. In the selected joint solutions, multiple headline parameters reach union bounds and many Welsch terms are saturated. Numerical-seed percentiles within one warm-start pair describe optimizer spread, not likelihood-based parameter uncertainty.</w:t>
      </w:r>
    </w:p>
    <w:p>
      <w:r>
        <w:rPr>
          <w:rFonts w:ascii="Arial" w:hAnsi="Arial" w:eastAsia="Arial"/>
          <w:i w:val="0"/>
          <w:sz w:val="21"/>
        </w:rPr>
        <w:t>Please perform profile likelihood or an equivalent likelihood-based uncertainty analysis for the key parameters and, preferably, for the derived functions that support the biological conclusions. At minimum, re-optimize nuisance parameters while profiling lambda_max, effective p_mis at defined O2/N states, and post-missegregation survival at 44 and 88 chromosomes. Include expanded-bound sensitivity and synthetic-data parameter-recovery experiments. Report which function-level directions remain identifiable even when individual parameters are not.</w:t>
      </w:r>
    </w:p>
    <w:p>
      <w:r>
        <w:rPr>
          <w:rFonts w:ascii="Arial" w:hAnsi="Arial" w:eastAsia="Arial"/>
          <w:i w:val="0"/>
          <w:sz w:val="21"/>
        </w:rPr>
        <w:t>Raue et al. distinguish practical non-identifiability caused by limited amount or quality of data from structural non-identifiability and show that profile likelihood can reveal flat directions and likelihood-based confidence intervals (Bioinformatics 2009; Abstract, Introduction, Section 2.3.2, and Discussion; doi:10.1093/bioinformatics/btp358). The current multistart ensemble is useful for search diagnostics but is not a substitute for this analysis.</w:t>
      </w:r>
    </w:p>
    <w:p>
      <w:pPr>
        <w:pStyle w:val="Heading2"/>
      </w:pPr>
      <w:r>
        <w:t>6. Establish model adequacy and predictive value rather than calibration alone</w:t>
      </w:r>
    </w:p>
    <w:p>
      <w:r>
        <w:rPr>
          <w:rFonts w:ascii="Arial" w:hAnsi="Arial" w:eastAsia="Arial"/>
          <w:i w:val="0"/>
          <w:sz w:val="21"/>
        </w:rPr>
        <w:t>The revision transparently reports that the deprived 2N culture branches end at observed means of 66.85 and 88.05 chromosomes while the ten selected fits predict approximately 63.72-64.40 for the shared branch-level state. The separate in vivo top-ten fits have log-burden RMSE of approximately 0.663-0.680, terminal-distribution total-variation distance of 0.681-0.714, and Wasserstein-1 distance of 4.18-5.24 chromosomes. These values indicate broad-scale calibration but weak recovery of important branch divergence and terminal distribution shape.</w:t>
      </w:r>
    </w:p>
    <w:p>
      <w:r>
        <w:rPr>
          <w:rFonts w:ascii="Arial" w:hAnsi="Arial" w:eastAsia="Arial"/>
          <w:i w:val="0"/>
          <w:sz w:val="21"/>
        </w:rPr>
        <w:t>No held-out or leave-one-unit-out validation, posterior-predictive check, or comparison with simpler descriptive models is presented. Because cohort-shared dynamic parameters are used for only eight tumors and parallel culture records are summarized for state propagation, the fitted model may absorb unmodeled branch and mouse heterogeneity into mechanistic parameters.</w:t>
      </w:r>
    </w:p>
    <w:p>
      <w:r>
        <w:rPr>
          <w:rFonts w:ascii="Arial" w:hAnsi="Arial" w:eastAsia="Arial"/>
          <w:i w:val="0"/>
          <w:sz w:val="21"/>
        </w:rPr>
        <w:t>Please add observation-level residual and predictive-check panels for every modality, compare against simple baselines, and conduct leave-one-mouse, leave-one-culture-branch, or leave-one-passage validation as the data permit. Consider branch-specific or hierarchical observation/error components, or narrow the conclusions explicitly to cohort-level descriptive fits. The late 2N branch divergence should be treated as a failed prediction that identifies missing biology, not only as a caveat.</w:t>
      </w:r>
    </w:p>
    <w:p>
      <w:pPr>
        <w:pStyle w:val="Heading2"/>
      </w:pPr>
      <w:r>
        <w:t>7. Make fixed-O2 interpretation finite-time and reliability-aware</w:t>
      </w:r>
    </w:p>
    <w:p>
      <w:r>
        <w:rPr>
          <w:rFonts w:ascii="Arial" w:hAnsi="Arial" w:eastAsia="Arial"/>
          <w:i w:val="0"/>
          <w:sz w:val="21"/>
        </w:rPr>
        <w:t>Only 141 of 500 fixed-O2 curves meet the supplied reliability criterion; 168 are cautionary and 191 are unreliable. None of the six selected in vivo warm-start representatives is reliable. The dominant eigenvector describes the asymptotic composition of a linear operator. A spectral gap of 0.005 per day corresponds to an approximately 200-day leading-mode separation time, whereas the observed tumor-burden follow-up in the supplied fits extends to at most 91 days.</w:t>
      </w:r>
    </w:p>
    <w:p>
      <w:r>
        <w:rPr>
          <w:rFonts w:ascii="Arial" w:hAnsi="Arial" w:eastAsia="Arial"/>
          <w:i w:val="0"/>
          <w:sz w:val="21"/>
        </w:rPr>
        <w:t>The pooled response-class counts therefore mix asymptotic patterns that may not dominate over the experimental horizon. The choice of spectral-gap thresholds and the mode cutoff at dominant mean ploidy 2.0 are also analysis conventions rather than experimentally validated boundaries.</w:t>
      </w:r>
    </w:p>
    <w:p>
      <w:r>
        <w:rPr>
          <w:rFonts w:ascii="Arial" w:hAnsi="Arial" w:eastAsia="Arial"/>
          <w:i w:val="0"/>
          <w:sz w:val="21"/>
        </w:rPr>
        <w:t>Please place reliability strata in the main Figure 6 interpretation, show class counts for reliable curves separately, and compute finite-time chromosome compositions at actual harvest horizons using the same fixed-O2 operators. Provide sensitivity to the 0.005/0.01 gap thresholds, the response-smoothing rule, and mode cutoffs such as 1.8, 2.0, and 2.2, or supplement binary AUC analyses with continuous dominant-ploidy associations. The six warm-start statuses should be displayed directly.</w:t>
      </w:r>
    </w:p>
    <w:p>
      <w:pPr>
        <w:pStyle w:val="Heading2"/>
      </w:pPr>
      <w:r>
        <w:t>8. Separate biological nonviability from finite-grid loss and repair the necrosis audit</w:t>
      </w:r>
    </w:p>
    <w:p>
      <w:r>
        <w:rPr>
          <w:rFonts w:ascii="Arial" w:hAnsi="Arial" w:eastAsia="Arial"/>
          <w:i w:val="0"/>
          <w:sz w:val="21"/>
        </w:rPr>
        <w:t>The CIN-associated dead compartment combines post-missegregation nonviability with out-of-grid daughter and WGD mass. In the selected in vitro fits, this compartment reaches approximately 32.2-33.4% of total burden, far exceeding direct hypoxia-origin dead burden of approximately 1.7-1.8%. The manuscript now acknowledges the conflation, but no expanded-grid or component-separation sensitivity is provided.</w:t>
      </w:r>
    </w:p>
    <w:p>
      <w:r>
        <w:rPr>
          <w:rFonts w:ascii="Arial" w:hAnsi="Arial" w:eastAsia="Arial"/>
          <w:i w:val="0"/>
          <w:sz w:val="21"/>
        </w:rPr>
        <w:t>The necrosis term is active and can be reconstructed, but the reviewed necrosis_fit.tsv files contain missing predicted values. The main Methods also do not state clearly that matched necrosis data are available for six of the eight tumors. A broken standard export prevents direct row-level audit even though the manuscript reports reconstructed necrosis MAE.</w:t>
      </w:r>
    </w:p>
    <w:p>
      <w:r>
        <w:rPr>
          <w:rFonts w:ascii="Arial" w:hAnsi="Arial" w:eastAsia="Arial"/>
          <w:i w:val="0"/>
          <w:sz w:val="21"/>
        </w:rPr>
        <w:t>Please export biological daughter nonviability, lower-bound loss, upper-bound loss, and out-of-grid WGD mass separately, and repeat the key in vitro and in vivo results with expanded N_min/N_max grids. Repair necrosis_fit.tsv to include observed fraction, predicted fraction, residual, standardized residual, inclusion status, and objective contribution for each of the six mapped tumors. Add an automated test that reconstructs the reported necrosis objective exactly from the exported rows.</w:t>
      </w:r>
    </w:p>
    <w:p>
      <w:pPr>
        <w:pStyle w:val="Heading2"/>
      </w:pPr>
      <w:r>
        <w:t>9. Synchronize the manuscript, repository, figures, tables, and computational provenance</w:t>
      </w:r>
    </w:p>
    <w:p>
      <w:r>
        <w:rPr>
          <w:rFonts w:ascii="Arial" w:hAnsi="Arial" w:eastAsia="Arial"/>
          <w:i w:val="0"/>
          <w:sz w:val="21"/>
        </w:rPr>
        <w:t>The revised manuscript is not yet the version stored on the reviewed HypoxiaLTEEFigures branch. It references a new joint-function table that is absent from that branch, and the revised response-class analysis is not represented by the supplied source tables or active driver. Earlier selected runs also record different commits and dirty working trees, while equivalent provenance is incomplete for the selected in vitro directories.</w:t>
      </w:r>
    </w:p>
    <w:p>
      <w:r>
        <w:rPr>
          <w:rFonts w:ascii="Arial" w:hAnsi="Arial" w:eastAsia="Arial"/>
          <w:i w:val="0"/>
          <w:sz w:val="21"/>
        </w:rPr>
        <w:t>Please produce a clean, tagged release from which the manuscript compiles and every figure can be regenerated. The release should include the resolved YAML, natural- and transformed-scale parameter tables, seed manifests, complete intermediate tables, software/package versions or container, checksums, and a figure-to-script-to-source-table map. Every numerical sentence in the Abstract and Results should link to a machine-readable source table.</w:t>
      </w:r>
    </w:p>
    <w:p>
      <w:r>
        <w:rPr>
          <w:rFonts w:ascii="Arial" w:hAnsi="Arial" w:eastAsia="Arial"/>
          <w:i w:val="0"/>
          <w:sz w:val="21"/>
        </w:rPr>
        <w:t>Sandve et al. specifically recommend tracking how every result was produced, archiving exact program versions, version-controlling custom scripts, retaining intermediate results and raw data behind plots, connecting textual claims to results, and providing access to scripts and outputs (PLOS Computational Biology 2013; Rules 1, 3, 4, 5, 7, 9, and 10; doi:10.1371/journal.pcbi.1003285). These requirements are especially important here because the current scientific conclusions depend on exact post-fit classifiers and derived-function calculations.</w:t>
      </w:r>
    </w:p>
    <w:p>
      <w:pPr>
        <w:pStyle w:val="Heading1"/>
      </w:pPr>
      <w:r>
        <w:t>Minor Comments</w:t>
      </w:r>
    </w:p>
    <w:p>
      <w:r>
        <w:rPr>
          <w:rFonts w:ascii="Arial" w:hAnsi="Arial" w:eastAsia="Arial"/>
          <w:b/>
          <w:sz w:val="21"/>
        </w:rPr>
        <w:t xml:space="preserve">1. </w:t>
      </w:r>
      <w:r>
        <w:rPr>
          <w:rFonts w:ascii="Arial" w:hAnsi="Arial" w:eastAsia="Arial"/>
          <w:sz w:val="21"/>
        </w:rPr>
        <w:t>Consider replacing "identifies" in the title with "reveals candidate" or "retains model-supported" because the manuscript itself documents practical non-identifiability, unsampled start combinations, and weak spectral separation.</w:t>
      </w:r>
    </w:p>
    <w:p>
      <w:r>
        <w:rPr>
          <w:rFonts w:ascii="Arial" w:hAnsi="Arial" w:eastAsia="Arial"/>
          <w:b/>
          <w:sz w:val="21"/>
        </w:rPr>
        <w:t xml:space="preserve">2. </w:t>
      </w:r>
      <w:r>
        <w:rPr>
          <w:rFonts w:ascii="Arial" w:hAnsi="Arial" w:eastAsia="Arial"/>
          <w:sz w:val="21"/>
        </w:rPr>
        <w:t>State in the main Methods that terminal necrosis is available for six tumors, not merely "where matched histology was available."</w:t>
      </w:r>
    </w:p>
    <w:p>
      <w:r>
        <w:rPr>
          <w:rFonts w:ascii="Arial" w:hAnsi="Arial" w:eastAsia="Arial"/>
          <w:b/>
          <w:sz w:val="21"/>
        </w:rPr>
        <w:t xml:space="preserve">3. </w:t>
      </w:r>
      <w:r>
        <w:rPr>
          <w:rFonts w:ascii="Arial" w:hAnsi="Arial" w:eastAsia="Arial"/>
          <w:sz w:val="21"/>
        </w:rPr>
        <w:t>Define CatA, CatB, and CatC in the Methods and provide the algorithm and source table assigning these labels. Otherwise remove the labels from Figure 5B.</w:t>
      </w:r>
    </w:p>
    <w:p>
      <w:r>
        <w:rPr>
          <w:rFonts w:ascii="Arial" w:hAnsi="Arial" w:eastAsia="Arial"/>
          <w:b/>
          <w:sz w:val="21"/>
        </w:rPr>
        <w:t xml:space="preserve">4. </w:t>
      </w:r>
      <w:r>
        <w:rPr>
          <w:rFonts w:ascii="Arial" w:hAnsi="Arial" w:eastAsia="Arial"/>
          <w:sz w:val="21"/>
        </w:rPr>
        <w:t>Add the complete effective p_mis curves and complete post-missegregation survival curves to the main Figure 5 or an immediately adjacent supplementary figure. Parameter-ratio panels alone can be directionally misleading for nonlinear functions.</w:t>
      </w:r>
    </w:p>
    <w:p>
      <w:r>
        <w:rPr>
          <w:rFonts w:ascii="Arial" w:hAnsi="Arial" w:eastAsia="Arial"/>
          <w:b/>
          <w:sz w:val="21"/>
        </w:rPr>
        <w:t xml:space="preserve">5. </w:t>
      </w:r>
      <w:r>
        <w:rPr>
          <w:rFonts w:ascii="Arial" w:hAnsi="Arial" w:eastAsia="Arial"/>
          <w:sz w:val="21"/>
        </w:rPr>
        <w:t>For every interval shown across optimizer starts, state the exact number of runs included and whether the source is all 500 runs or the selected top ten. Avoid the phrase "narrow interval" without specifying that it is numerical-start spread.</w:t>
      </w:r>
    </w:p>
    <w:p>
      <w:r>
        <w:rPr>
          <w:rFonts w:ascii="Arial" w:hAnsi="Arial" w:eastAsia="Arial"/>
          <w:b/>
          <w:sz w:val="21"/>
        </w:rPr>
        <w:t xml:space="preserve">6. </w:t>
      </w:r>
      <w:r>
        <w:rPr>
          <w:rFonts w:ascii="Arial" w:hAnsi="Arial" w:eastAsia="Arial"/>
          <w:sz w:val="21"/>
        </w:rPr>
        <w:t>Report the units of the eigenvalues and spectral gap and explicitly relate 1/gap to the leading-mode relaxation time.</w:t>
      </w:r>
    </w:p>
    <w:p>
      <w:r>
        <w:rPr>
          <w:rFonts w:ascii="Arial" w:hAnsi="Arial" w:eastAsia="Arial"/>
          <w:b/>
          <w:sz w:val="21"/>
        </w:rPr>
        <w:t xml:space="preserve">7. </w:t>
      </w:r>
      <w:r>
        <w:rPr>
          <w:rFonts w:ascii="Arial" w:hAnsi="Arial" w:eastAsia="Arial"/>
          <w:sz w:val="21"/>
        </w:rPr>
        <w:t>Report the number of observations contributing to each in vitro likelihood component in the main Methods or a concise supplementary data-flow table.</w:t>
      </w:r>
    </w:p>
    <w:p>
      <w:r>
        <w:rPr>
          <w:rFonts w:ascii="Arial" w:hAnsi="Arial" w:eastAsia="Arial"/>
          <w:b/>
          <w:sz w:val="21"/>
        </w:rPr>
        <w:t xml:space="preserve">8. </w:t>
      </w:r>
      <w:r>
        <w:rPr>
          <w:rFonts w:ascii="Arial" w:hAnsi="Arial" w:eastAsia="Arial"/>
          <w:sz w:val="21"/>
        </w:rPr>
        <w:t>Clarify that the direction-independent AUC is max(AUC, 1-AUC), identify the positive mode coding, and provide the sign/orientation separately so that biological direction is not lost.</w:t>
      </w:r>
    </w:p>
    <w:p>
      <w:r>
        <w:rPr>
          <w:rFonts w:ascii="Arial" w:hAnsi="Arial" w:eastAsia="Arial"/>
          <w:b/>
          <w:sz w:val="21"/>
        </w:rPr>
        <w:t xml:space="preserve">9. </w:t>
      </w:r>
      <w:r>
        <w:rPr>
          <w:rFonts w:ascii="Arial" w:hAnsi="Arial" w:eastAsia="Arial"/>
          <w:sz w:val="21"/>
        </w:rPr>
        <w:t>Use "parallel lineages" consistently for O1/O2 unless experimental records establish a formal biological-replicate structure.</w:t>
      </w:r>
    </w:p>
    <w:p>
      <w:r>
        <w:rPr>
          <w:rFonts w:ascii="Arial" w:hAnsi="Arial" w:eastAsia="Arial"/>
          <w:b/>
          <w:sz w:val="21"/>
        </w:rPr>
        <w:t xml:space="preserve">10. </w:t>
      </w:r>
      <w:r>
        <w:rPr>
          <w:rFonts w:ascii="Arial" w:hAnsi="Arial" w:eastAsia="Arial"/>
          <w:sz w:val="21"/>
        </w:rPr>
        <w:t>Add Data Availability and Code Availability sections, including the CLONEID identifiers, repository tag/DOI, archived result package, and license.</w:t>
      </w:r>
    </w:p>
    <w:p>
      <w:r>
        <w:rPr>
          <w:rFonts w:ascii="Arial" w:hAnsi="Arial" w:eastAsia="Arial"/>
          <w:b/>
          <w:sz w:val="21"/>
        </w:rPr>
        <w:t xml:space="preserve">11. </w:t>
      </w:r>
      <w:r>
        <w:rPr>
          <w:rFonts w:ascii="Arial" w:hAnsi="Arial" w:eastAsia="Arial"/>
          <w:sz w:val="21"/>
        </w:rPr>
        <w:t>Include the animal protocol/ethics statement, funding, conflict-of-interest declaration, and author-contribution statement required by the target journal.</w:t>
      </w:r>
    </w:p>
    <w:p>
      <w:r>
        <w:rPr>
          <w:rFonts w:ascii="Arial" w:hAnsi="Arial" w:eastAsia="Arial"/>
          <w:b/>
          <w:sz w:val="21"/>
        </w:rPr>
        <w:t xml:space="preserve">12. </w:t>
      </w:r>
      <w:r>
        <w:rPr>
          <w:rFonts w:ascii="Arial" w:hAnsi="Arial" w:eastAsia="Arial"/>
          <w:sz w:val="21"/>
        </w:rPr>
        <w:t>Correct minor typographic consistency issues, including consistent use of "chromosome missegregation" versus "chromosome-segregation instability," and ensure every figure panel cited in the text exists in the submitted figure set.</w:t>
      </w:r>
    </w:p>
    <w:p>
      <w:pPr>
        <w:pStyle w:val="Heading1"/>
      </w:pPr>
      <w:r>
        <w:t>Recommendation</w:t>
      </w:r>
    </w:p>
    <w:p>
      <w:r>
        <w:rPr>
          <w:rFonts w:ascii="Arial" w:hAnsi="Arial" w:eastAsia="Arial"/>
          <w:i w:val="0"/>
          <w:sz w:val="21"/>
        </w:rPr>
        <w:t>Major Revision. The revised manuscript has corrected several important scientific and implementation errors and now presents a much more defensible conditional interpretation. The remaining issues, however, concern the identity of the analysis actually used for Figure 6, the auditability of all-run claims, the added value of the joint model, and the stability and predictive adequacy of the inferred mechanisms. These require new analysis and synchronized computational release materials before the central conclusions can be evaluated as publication-ready.</w:t>
      </w:r>
    </w:p>
    <w:p>
      <w:pPr>
        <w:pStyle w:val="Heading1"/>
      </w:pPr>
      <w:r>
        <w:t>Methodological References Used in This Review</w:t>
      </w:r>
    </w:p>
    <w:p>
      <w:r>
        <w:rPr>
          <w:rFonts w:ascii="Arial" w:hAnsi="Arial" w:eastAsia="Arial"/>
          <w:b/>
          <w:sz w:val="21"/>
        </w:rPr>
        <w:t xml:space="preserve">1. </w:t>
      </w:r>
      <w:r>
        <w:rPr>
          <w:rFonts w:ascii="Arial" w:hAnsi="Arial" w:eastAsia="Arial"/>
          <w:sz w:val="21"/>
        </w:rPr>
        <w:t>Raue A, Kreutz C, Maiwald T, et al. Structural and practical identifiability analysis of partially observed dynamical models by exploiting the profile likelihood. Bioinformatics. 2009;25(15):1923-1929. doi:10.1093/bioinformatics/btp358. Specific support used: Abstract; Introduction; Section 2.3.2, Practical non-identifiability; and Discussion.</w:t>
      </w:r>
    </w:p>
    <w:p>
      <w:r>
        <w:rPr>
          <w:rFonts w:ascii="Arial" w:hAnsi="Arial" w:eastAsia="Arial"/>
          <w:b/>
          <w:sz w:val="21"/>
        </w:rPr>
        <w:t xml:space="preserve">2. </w:t>
      </w:r>
      <w:r>
        <w:rPr>
          <w:rFonts w:ascii="Arial" w:hAnsi="Arial" w:eastAsia="Arial"/>
          <w:sz w:val="21"/>
        </w:rPr>
        <w:t>Kobak D, Berens P. The art of using t-SNE for single-cell transcriptomics. Nature Communications. 2019;10:5416. doi:10.1038/s41467-019-13056-x. Specific support used: Abstract and Introduction on strong local-structure visualization but unreliable global cluster geometry, and Discussion on dependence of global arrangement on initialization and optimization choices.</w:t>
      </w:r>
    </w:p>
    <w:p>
      <w:r>
        <w:rPr>
          <w:rFonts w:ascii="Arial" w:hAnsi="Arial" w:eastAsia="Arial"/>
          <w:b/>
          <w:sz w:val="21"/>
        </w:rPr>
        <w:t xml:space="preserve">3. </w:t>
      </w:r>
      <w:r>
        <w:rPr>
          <w:rFonts w:ascii="Arial" w:hAnsi="Arial" w:eastAsia="Arial"/>
          <w:sz w:val="21"/>
        </w:rPr>
        <w:t>Sandve GK, Nekrutenko A, Taylor J, Hovig E. Ten Simple Rules for Reproducible Computational Research. PLoS Computational Biology. 2013;9(10):e1003285. doi:10.1371/journal.pcbi.1003285. Specific support used: Rules 1, 3, 4, 5, 7, 9, and 10.</w:t>
      </w:r>
    </w:p>
    <w:sectPr>
      <w:headerReference w:type="default" r:id="rId9"/>
      <w:footerReference w:type="default" r:id="rId10"/>
      <w:pgSz w:w="12240" w:h="15840"/>
      <w:pgMar w:top="1080" w:right="1224" w:bottom="1037" w:left="1224"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646464"/>
        <w:sz w:val="16"/>
      </w:rPr>
      <w:t>Peer Review - Revised SUM159 Resource-Stress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eastAsia="Arial"/>
      <w:b/>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Path">
    <w:name w:val="Evidence Path"/>
    <w:basedOn w:val="Normal"/>
    <w:pPr>
      <w:keepLines/>
      <w:spacing w:before="20" w:after="80"/>
      <w:ind w:left="317" w:right="144"/>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Independent peer review of revised manuscript</dc:subject>
  <dc:creator/>
  <cp:keywords>peer review; computational oncology; ploidy; chromosome instability</cp:keywords>
  <dc:description>generated by python-docx</dc:description>
  <cp:lastModifiedBy/>
  <cp:revision>1</cp:revision>
  <dcterms:created xsi:type="dcterms:W3CDTF">2013-12-23T23:15:00Z</dcterms:created>
  <dcterms:modified xsi:type="dcterms:W3CDTF">2013-12-23T23:15:00Z</dcterms:modified>
  <cp:category/>
</cp:coreProperties>
</file>