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Major Comment Crosswalk for Revised Manuscript</w:t>
      </w:r>
    </w:p>
    <w:p>
      <w:pPr>
        <w:spacing w:after="120" w:line="259" w:lineRule="auto"/>
      </w:pPr>
      <w:r>
        <w:t>Source: revised LaTeX manuscript supplied as Pasted text(1).txt. Line numbers refer to the uploaded text file as displayed in the review workspace.</w:t>
      </w:r>
    </w:p>
    <w:p>
      <w:pPr>
        <w:spacing w:after="120" w:line="259" w:lineRule="auto"/>
      </w:pPr>
      <w:r>
        <w:t>Purpose: This document maps each major review comment to the specific manuscript locations, rationale, evidence basis, validation level, and likely impact. No additional external literature was introduced; comments are based on internal manuscript evidence and standard model-review logic.</w:t>
      </w:r>
    </w:p>
    <w:p>
      <w:pPr>
        <w:pStyle w:val="Heading1"/>
        <w:spacing w:before="160" w:after="80"/>
      </w:pPr>
      <w:r>
        <w:t>Crosswalk for Major Comment 1. Conditional framing of the central claim</w:t>
      </w:r>
    </w:p>
    <w:p>
      <w:pPr>
        <w:spacing w:after="120" w:line="259" w:lineRule="auto"/>
      </w:pPr>
      <w:r>
        <w:rPr>
          <w:b/>
        </w:rPr>
        <w:t>Manuscript location(s):</w:t>
      </w:r>
      <w:r/>
    </w:p>
    <w:p>
      <w:pPr>
        <w:spacing w:after="120" w:line="259" w:lineRule="auto"/>
      </w:pPr>
      <w:r>
        <w:t>- Title and Abstract: lines 12 and 32.</w:t>
      </w:r>
    </w:p>
    <w:p>
      <w:pPr>
        <w:spacing w:after="120" w:line="259" w:lineRule="auto"/>
      </w:pPr>
      <w:r>
        <w:t>- Joint-fitting framing: lines 78–81 and 116–124.</w:t>
      </w:r>
    </w:p>
    <w:p>
      <w:pPr>
        <w:spacing w:after="120" w:line="259" w:lineRule="auto"/>
      </w:pPr>
      <w:r>
        <w:t>- Discussion limitations: lines 228–242.</w:t>
      </w:r>
    </w:p>
    <w:p>
      <w:pPr>
        <w:spacing w:after="120" w:line="259" w:lineRule="auto"/>
      </w:pPr>
      <w:r>
        <w:rPr>
          <w:b/>
        </w:rPr>
        <w:t>Reviewer concern:</w:t>
      </w:r>
      <w:r>
        <w:t xml:space="preserve"> The manuscript has improved substantially, but the current title and some headings still risk implying that the biological regimes have been definitively identified. The manuscript’s own diagnostics support a conditional modeling interpretation rather than a resolved causal or biological-regime claim.</w:t>
      </w:r>
    </w:p>
    <w:p>
      <w:pPr>
        <w:spacing w:after="120" w:line="259" w:lineRule="auto"/>
      </w:pPr>
      <w:r>
        <w:rPr>
          <w:b/>
        </w:rPr>
        <w:t>Basis in the manuscript:</w:t>
      </w:r>
      <w:r>
        <w:t xml:space="preserve"> The Abstract states that the analysis uses six landscape-informed in vivo warm starts, one in vitro anchor, and 500 numerical seeds per pair. The Results and Discussion state that all joint solutions had active bounds, local refinements were rejected, soft-coupling penalties were often saturated, and multiple fixed-O2 regimes remain compatible. These statements make the evidence conditional on model structure, search coverage, and selected basins.</w:t>
      </w:r>
    </w:p>
    <w:p>
      <w:pPr>
        <w:spacing w:after="120" w:line="259" w:lineRule="auto"/>
      </w:pPr>
      <w:r>
        <w:rPr>
          <w:b/>
        </w:rPr>
        <w:t>Background for the concern:</w:t>
      </w:r>
      <w:r>
        <w:t xml:space="preserve"> In model-based inference, multiple near-equivalent parameter sets and boundary-dependent optima mean that fitted parameter directions can be useful hypotheses but should not be treated as unique biological effect estimates. This comment relies on the manuscript’s own diagnostics and does not require an additional external theoretical claim.</w:t>
      </w:r>
    </w:p>
    <w:p>
      <w:pPr>
        <w:spacing w:after="120" w:line="259" w:lineRule="auto"/>
      </w:pPr>
      <w:r>
        <w:rPr>
          <w:b/>
        </w:rPr>
        <w:t>Validation status:</w:t>
      </w:r>
      <w:r>
        <w:t xml:space="preserve"> Partly validated by manuscript text. The issue is not that the authors hide the limitations; rather, the high-level framing does not fully match those limitations.</w:t>
      </w:r>
    </w:p>
    <w:p>
      <w:pPr>
        <w:spacing w:after="120" w:line="259" w:lineRule="auto"/>
      </w:pPr>
      <w:r>
        <w:rPr>
          <w:b/>
        </w:rPr>
        <w:t>Impact on interpretation:</w:t>
      </w:r>
      <w:r>
        <w:t xml:space="preserve"> High. This affects the title, Abstract, and how readers interpret the central contribution. Overstating the strength of the inference could lead readers to treat model-conditional contrasts as established tumor-versus-culture mechanisms.</w:t>
      </w:r>
    </w:p>
    <w:p>
      <w:pPr>
        <w:spacing w:after="120" w:line="259" w:lineRule="auto"/>
      </w:pPr>
      <w:r>
        <w:rPr>
          <w:b/>
        </w:rPr>
        <w:t>Minimum requested revision:</w:t>
      </w:r>
      <w:r>
        <w:t xml:space="preserve"> Soften the title and key result headings; add a final Abstract sentence that explicitly describes the outputs as testable, model-supported hypotheses conditional on the sampled retained basins and current data.</w:t>
      </w:r>
    </w:p>
    <w:p>
      <w:pPr>
        <w:pStyle w:val="Heading1"/>
        <w:spacing w:before="160" w:after="80"/>
      </w:pPr>
      <w:r>
        <w:t>Crosswalk for Major Comment 2. In vitro branch-level fit limitation</w:t>
      </w:r>
    </w:p>
    <w:p>
      <w:pPr>
        <w:spacing w:after="120" w:line="259" w:lineRule="auto"/>
      </w:pPr>
      <w:r>
        <w:rPr>
          <w:b/>
        </w:rPr>
        <w:t>Manuscript location(s):</w:t>
      </w:r>
      <w:r/>
    </w:p>
    <w:p>
      <w:pPr>
        <w:spacing w:after="120" w:line="259" w:lineRule="auto"/>
      </w:pPr>
      <w:r>
        <w:t>- In vitro Results: lines 96–100.</w:t>
      </w:r>
    </w:p>
    <w:p>
      <w:pPr>
        <w:spacing w:after="120" w:line="259" w:lineRule="auto"/>
      </w:pPr>
      <w:r>
        <w:t>- Figure 3 caption: lines 155–160.</w:t>
      </w:r>
    </w:p>
    <w:p>
      <w:pPr>
        <w:spacing w:after="120" w:line="259" w:lineRule="auto"/>
      </w:pPr>
      <w:r>
        <w:t>- Abstract: line 32.</w:t>
      </w:r>
    </w:p>
    <w:p>
      <w:pPr>
        <w:spacing w:after="120" w:line="259" w:lineRule="auto"/>
      </w:pPr>
      <w:r>
        <w:rPr>
          <w:b/>
        </w:rPr>
        <w:t>Reviewer concern:</w:t>
      </w:r>
      <w:r>
        <w:t xml:space="preserve"> The manuscript acknowledges that the model missed the late divergence of the two deprived 2N branches, but the figure and mechanistic interpretation do not yet make this limitation prominent enough.</w:t>
      </w:r>
    </w:p>
    <w:p>
      <w:pPr>
        <w:spacing w:after="120" w:line="259" w:lineRule="auto"/>
      </w:pPr>
      <w:r>
        <w:rPr>
          <w:b/>
        </w:rPr>
        <w:t>Basis in the manuscript:</w:t>
      </w:r>
      <w:r>
        <w:t xml:space="preserve"> The text reports observed branch means of 66.85 and 88.05 chromosomes, while the ten lowest-objective fits predicted 63.72–64.40 chromosomes. This supports mixed-distribution production and 4N decline without high hypoxia-origin death, but it does not support faithful recovery of both late deprived 2N trajectories.</w:t>
      </w:r>
    </w:p>
    <w:p>
      <w:pPr>
        <w:spacing w:after="120" w:line="259" w:lineRule="auto"/>
      </w:pPr>
      <w:r>
        <w:rPr>
          <w:b/>
        </w:rPr>
        <w:t>Background for the concern:</w:t>
      </w:r>
      <w:r>
        <w:t xml:space="preserve"> A central mechanistic inference should be tied to the part of the data that is actually reproduced. If a branch-level divergence is missed, that divergence may reflect unmodeled adaptation, branch-specific heterogeneity, or data/replicate structure not represented in the model.</w:t>
      </w:r>
    </w:p>
    <w:p>
      <w:pPr>
        <w:spacing w:after="120" w:line="259" w:lineRule="auto"/>
      </w:pPr>
      <w:r>
        <w:rPr>
          <w:b/>
        </w:rPr>
        <w:t>Validation status:</w:t>
      </w:r>
      <w:r>
        <w:t xml:space="preserve"> Strongly validated by the manuscript’s own quantitative statement. No outside evidence is needed.</w:t>
      </w:r>
    </w:p>
    <w:p>
      <w:pPr>
        <w:spacing w:after="120" w:line="259" w:lineRule="auto"/>
      </w:pPr>
      <w:r>
        <w:rPr>
          <w:b/>
        </w:rPr>
        <w:t>Impact on interpretation:</w:t>
      </w:r>
      <w:r>
        <w:t xml:space="preserve"> High. The in vitro result is a core support for the model’s ability to generate and then reduce high-ploidy states. If the branch-level limitation is not visually documented, readers may overestimate the in vitro fit quality.</w:t>
      </w:r>
    </w:p>
    <w:p>
      <w:pPr>
        <w:spacing w:after="120" w:line="259" w:lineRule="auto"/>
      </w:pPr>
      <w:r>
        <w:rPr>
          <w:b/>
        </w:rPr>
        <w:t>Minimum requested revision:</w:t>
      </w:r>
      <w:r>
        <w:t xml:space="preserve"> Add an observed-versus-fitted branch-level diagnostic and restrict the text to the supported result: mixed distribution and 4N-lineage decline without large direct hypoxia-origin death, not full explanation of both deprived 2N branches.</w:t>
      </w:r>
    </w:p>
    <w:p>
      <w:pPr>
        <w:pStyle w:val="Heading1"/>
        <w:spacing w:before="160" w:after="80"/>
      </w:pPr>
      <w:r>
        <w:t>Crosswalk for Major Comment 3. Fixed-O2 response-class reliability</w:t>
      </w:r>
    </w:p>
    <w:p>
      <w:pPr>
        <w:spacing w:after="120" w:line="259" w:lineRule="auto"/>
      </w:pPr>
      <w:r>
        <w:rPr>
          <w:b/>
        </w:rPr>
        <w:t>Manuscript location(s):</w:t>
      </w:r>
      <w:r/>
    </w:p>
    <w:p>
      <w:pPr>
        <w:spacing w:after="120" w:line="259" w:lineRule="auto"/>
      </w:pPr>
      <w:r>
        <w:t>- Fixed-O2 Results: lines 126–128.</w:t>
      </w:r>
    </w:p>
    <w:p>
      <w:pPr>
        <w:spacing w:after="120" w:line="259" w:lineRule="auto"/>
      </w:pPr>
      <w:r>
        <w:t>- Figure 6 caption: lines 210–221.</w:t>
      </w:r>
    </w:p>
    <w:p>
      <w:pPr>
        <w:spacing w:after="120" w:line="259" w:lineRule="auto"/>
      </w:pPr>
      <w:r>
        <w:t>- Fixed-O2 methods and reliability definition: lines 936–960.</w:t>
      </w:r>
    </w:p>
    <w:p>
      <w:pPr>
        <w:spacing w:after="120" w:line="259" w:lineRule="auto"/>
      </w:pPr>
      <w:r>
        <w:t>- Discussion limitation: line 240.</w:t>
      </w:r>
    </w:p>
    <w:p>
      <w:pPr>
        <w:spacing w:after="120" w:line="259" w:lineRule="auto"/>
      </w:pPr>
      <w:r>
        <w:rPr>
          <w:b/>
        </w:rPr>
        <w:t>Reviewer concern:</w:t>
      </w:r>
      <w:r>
        <w:t xml:space="preserve"> Response-class counts are currently presented across all 500 fits, but most fits are caution or unreliable by the manuscript’s own spectral-gap criterion. The selected in vivo warm-start representatives were not reliable.</w:t>
      </w:r>
    </w:p>
    <w:p>
      <w:pPr>
        <w:spacing w:after="120" w:line="259" w:lineRule="auto"/>
      </w:pPr>
      <w:r>
        <w:rPr>
          <w:b/>
        </w:rPr>
        <w:t>Basis in the manuscript:</w:t>
      </w:r>
      <w:r>
        <w:t xml:space="preserve"> The manuscript reports 141 reliable, 168 caution, and 191 unreliable curves. It also states that the six selected separate-in vivo warm-start representatives were three caution and three unreliable. Figure 6A explicitly pools reliable, caution, and unreliable strata.</w:t>
      </w:r>
    </w:p>
    <w:p>
      <w:pPr>
        <w:spacing w:after="120" w:line="259" w:lineRule="auto"/>
      </w:pPr>
      <w:r>
        <w:rPr>
          <w:b/>
        </w:rPr>
        <w:t>Background for the concern:</w:t>
      </w:r>
      <w:r>
        <w:t xml:space="preserve"> A dominant eigenvector interpretation depends on sufficient separation of the dominant eigendirection from the next mode. Small spectral gaps mean the asymptotic distribution can be numerically or structurally unstable, so biological interpretation of response classes should be reliability-stratified.</w:t>
      </w:r>
    </w:p>
    <w:p>
      <w:pPr>
        <w:spacing w:after="120" w:line="259" w:lineRule="auto"/>
      </w:pPr>
      <w:r>
        <w:rPr>
          <w:b/>
        </w:rPr>
        <w:t>Validation status:</w:t>
      </w:r>
      <w:r>
        <w:t xml:space="preserve"> Strongly validated by manuscript lines and figure caption. The concern follows directly from the reported spectral-gap diagnostics.</w:t>
      </w:r>
    </w:p>
    <w:p>
      <w:pPr>
        <w:spacing w:after="120" w:line="259" w:lineRule="auto"/>
      </w:pPr>
      <w:r>
        <w:rPr>
          <w:b/>
        </w:rPr>
        <w:t>Impact on interpretation:</w:t>
      </w:r>
      <w:r>
        <w:t xml:space="preserve"> High. Fixed-O2 classes are used to characterize model uncertainty and motivate joint warm starts. If unreliable curves dominate, the biological meaning of class counts and selected basins is weakened.</w:t>
      </w:r>
    </w:p>
    <w:p>
      <w:pPr>
        <w:spacing w:after="120" w:line="259" w:lineRule="auto"/>
      </w:pPr>
      <w:r>
        <w:rPr>
          <w:b/>
        </w:rPr>
        <w:t>Minimum requested revision:</w:t>
      </w:r>
      <w:r>
        <w:t xml:space="preserve"> Provide reliable-only and/or reliability-stratified class summaries; state how conclusions change after excluding unreliable curves; justify use of caution/unreliable warm-start representatives or replace them with reliability-passing representatives where possible.</w:t>
      </w:r>
    </w:p>
    <w:p>
      <w:pPr>
        <w:pStyle w:val="Heading1"/>
        <w:spacing w:before="160" w:after="80"/>
      </w:pPr>
      <w:r>
        <w:t>Crosswalk for Major Comment 4. Joint-fit sensitivity to in vitro anchor, penalty, and boundaries</w:t>
      </w:r>
    </w:p>
    <w:p>
      <w:pPr>
        <w:spacing w:after="120" w:line="259" w:lineRule="auto"/>
      </w:pPr>
      <w:r>
        <w:rPr>
          <w:b/>
        </w:rPr>
        <w:t>Manuscript location(s):</w:t>
      </w:r>
      <w:r/>
    </w:p>
    <w:p>
      <w:pPr>
        <w:spacing w:after="120" w:line="259" w:lineRule="auto"/>
      </w:pPr>
      <w:r>
        <w:t>- Joint-fit Results: lines 116–124.</w:t>
      </w:r>
    </w:p>
    <w:p>
      <w:pPr>
        <w:spacing w:after="120" w:line="259" w:lineRule="auto"/>
      </w:pPr>
      <w:r>
        <w:t>- Joint fitting method and Welsch penalty: lines 857–906.</w:t>
      </w:r>
    </w:p>
    <w:p>
      <w:pPr>
        <w:spacing w:after="120" w:line="259" w:lineRule="auto"/>
      </w:pPr>
      <w:r>
        <w:t>- Warm-start design: lines 911–913.</w:t>
      </w:r>
    </w:p>
    <w:p>
      <w:pPr>
        <w:spacing w:after="120" w:line="259" w:lineRule="auto"/>
      </w:pPr>
      <w:r>
        <w:t>- Optimization diagnostics: lines 930–933.</w:t>
      </w:r>
    </w:p>
    <w:p>
      <w:pPr>
        <w:spacing w:after="120" w:line="259" w:lineRule="auto"/>
      </w:pPr>
      <w:r>
        <w:t>- Discussion limitation: lines 240–242.</w:t>
      </w:r>
    </w:p>
    <w:p>
      <w:pPr>
        <w:spacing w:after="120" w:line="259" w:lineRule="auto"/>
      </w:pPr>
      <w:r>
        <w:rPr>
          <w:b/>
        </w:rPr>
        <w:t>Reviewer concern:</w:t>
      </w:r>
      <w:r>
        <w:t xml:space="preserve"> The joint contrasts are directionally interesting but currently depend on six in vivo subcluster representatives paired to one in vitro anchor. The all-bound, rejected-local-refinement, and near-saturated-penalty diagnostics mean these should not be treated as robust context effect sizes.</w:t>
      </w:r>
    </w:p>
    <w:p>
      <w:pPr>
        <w:spacing w:after="120" w:line="259" w:lineRule="auto"/>
      </w:pPr>
      <w:r>
        <w:rPr>
          <w:b/>
        </w:rPr>
        <w:t>Basis in the manuscript:</w:t>
      </w:r>
      <w:r>
        <w:t xml:space="preserve"> The manuscript states that all six pairs used the same in vitro seed-10 anchor and that other in vitro subclusters were not represented. It also states that all 3,000 local refinements were rejected, all differential-evolution endpoints stopped early, every joint solution had an active bound, and soft penalties occupied 75.8–89.5% of their 14-parameter maximum among low-objective solutions.</w:t>
      </w:r>
    </w:p>
    <w:p>
      <w:pPr>
        <w:spacing w:after="120" w:line="259" w:lineRule="auto"/>
      </w:pPr>
      <w:r>
        <w:rPr>
          <w:b/>
        </w:rPr>
        <w:t>Background for the concern:</w:t>
      </w:r>
      <w:r>
        <w:t xml:space="preserve"> When one side of a joint comparison is anchored to a single solution, context contrasts can reflect the chosen anchor as much as the biological context. Bounded penalties can also allow large parameter splits with limited additional cost once saturated.</w:t>
      </w:r>
    </w:p>
    <w:p>
      <w:pPr>
        <w:spacing w:after="120" w:line="259" w:lineRule="auto"/>
      </w:pPr>
      <w:r>
        <w:rPr>
          <w:b/>
        </w:rPr>
        <w:t>Validation status:</w:t>
      </w:r>
      <w:r>
        <w:t xml:space="preserve"> Strongly validated by manuscript text. What remains unvalidated is robustness across untested in vitro anchors, penalty choices, and unsampled basins.</w:t>
      </w:r>
    </w:p>
    <w:p>
      <w:pPr>
        <w:spacing w:after="120" w:line="259" w:lineRule="auto"/>
      </w:pPr>
      <w:r>
        <w:rPr>
          <w:b/>
        </w:rPr>
        <w:t>Impact on interpretation:</w:t>
      </w:r>
      <w:r>
        <w:t xml:space="preserve"> High. This affects the main joint-fit conclusion that in vivo has lower maximal division rate, higher effective missegregation, and altered survival functions.</w:t>
      </w:r>
    </w:p>
    <w:p>
      <w:pPr>
        <w:spacing w:after="120" w:line="259" w:lineRule="auto"/>
      </w:pPr>
      <w:r>
        <w:rPr>
          <w:b/>
        </w:rPr>
        <w:t>Minimum requested revision:</w:t>
      </w:r>
      <w:r>
        <w:t xml:space="preserve"> Add sensitivity analyses using additional in vitro anchors and alternative coupling penalties, or downgrade joint-fit conclusions to directional hypotheses from the sampled retained basins. Report whether function-level contrasts persist after excluding active-bound solutions.</w:t>
      </w:r>
    </w:p>
    <w:p>
      <w:pPr>
        <w:pStyle w:val="Heading1"/>
        <w:spacing w:before="160" w:after="80"/>
      </w:pPr>
      <w:r>
        <w:t>Crosswalk for Major Comment 5. Necrosis reproducibility and auditability</w:t>
      </w:r>
    </w:p>
    <w:p>
      <w:pPr>
        <w:spacing w:after="120" w:line="259" w:lineRule="auto"/>
      </w:pPr>
      <w:r>
        <w:rPr>
          <w:b/>
        </w:rPr>
        <w:t>Manuscript location(s):</w:t>
      </w:r>
      <w:r/>
    </w:p>
    <w:p>
      <w:pPr>
        <w:spacing w:after="120" w:line="259" w:lineRule="auto"/>
      </w:pPr>
      <w:r>
        <w:t>- Study design and observation models: lines 50–71.</w:t>
      </w:r>
    </w:p>
    <w:p>
      <w:pPr>
        <w:spacing w:after="120" w:line="259" w:lineRule="auto"/>
      </w:pPr>
      <w:r>
        <w:t>- In vivo fit-quality text: line 110.</w:t>
      </w:r>
    </w:p>
    <w:p>
      <w:pPr>
        <w:spacing w:after="120" w:line="259" w:lineRule="auto"/>
      </w:pPr>
      <w:r>
        <w:t>- Necrosis likelihood: lines 615–679.</w:t>
      </w:r>
    </w:p>
    <w:p>
      <w:pPr>
        <w:spacing w:after="120" w:line="259" w:lineRule="auto"/>
      </w:pPr>
      <w:r>
        <w:t>- Discussion implementation limitation: line 242.</w:t>
      </w:r>
    </w:p>
    <w:p>
      <w:pPr>
        <w:spacing w:after="120" w:line="259" w:lineRule="auto"/>
      </w:pPr>
      <w:r>
        <w:rPr>
          <w:b/>
        </w:rPr>
        <w:t>Reviewer concern:</w:t>
      </w:r>
      <w:r>
        <w:t xml:space="preserve"> Terminal necrosis is included as a calibration modality and appears in the Abstract-level model description, but row-level predicted values are missing in the current export and were reconstructed from stored states and objective components.</w:t>
      </w:r>
    </w:p>
    <w:p>
      <w:pPr>
        <w:spacing w:after="120" w:line="259" w:lineRule="auto"/>
      </w:pPr>
      <w:r>
        <w:rPr>
          <w:b/>
        </w:rPr>
        <w:t>Basis in the manuscript:</w:t>
      </w:r>
      <w:r>
        <w:t xml:space="preserve"> The manuscript states that necrosis is compared with simulated terminal total-dead fraction and included in the in vivo objective. It also acknowledges missing predicted values in necrosis_fit.tsv. This prevents direct row-level verification unless the reconstruction workflow is provided and validated.</w:t>
      </w:r>
    </w:p>
    <w:p>
      <w:pPr>
        <w:spacing w:after="120" w:line="259" w:lineRule="auto"/>
      </w:pPr>
      <w:r>
        <w:rPr>
          <w:b/>
        </w:rPr>
        <w:t>Background for the concern:</w:t>
      </w:r>
      <w:r>
        <w:t xml:space="preserve"> A data modality used in a fitted objective should have an auditable mapping from observation to prediction to objective contribution. This is especially important when the modality supports interpretation of live/dead compartments.</w:t>
      </w:r>
    </w:p>
    <w:p>
      <w:pPr>
        <w:spacing w:after="120" w:line="259" w:lineRule="auto"/>
      </w:pPr>
      <w:r>
        <w:rPr>
          <w:b/>
        </w:rPr>
        <w:t>Validation status:</w:t>
      </w:r>
      <w:r>
        <w:t xml:space="preserve"> Strongly validated by manuscript text. The exact extent of the export problem cannot be checked from the pasted text alone, because the exported TSV was not supplied with this revision.</w:t>
      </w:r>
    </w:p>
    <w:p>
      <w:pPr>
        <w:spacing w:after="120" w:line="259" w:lineRule="auto"/>
      </w:pPr>
      <w:r>
        <w:rPr>
          <w:b/>
        </w:rPr>
        <w:t>Impact on interpretation:</w:t>
      </w:r>
      <w:r>
        <w:t xml:space="preserve"> Moderate to high. If necrosis is only a minor auxiliary constraint, the issue can be handled by downgrading its role. If it is a central in vivo support, the export needs repair before publication.</w:t>
      </w:r>
    </w:p>
    <w:p>
      <w:pPr>
        <w:spacing w:after="120" w:line="259" w:lineRule="auto"/>
      </w:pPr>
      <w:r>
        <w:rPr>
          <w:b/>
        </w:rPr>
        <w:t>Minimum requested revision:</w:t>
      </w:r>
      <w:r>
        <w:t xml:space="preserve"> Repair the necrosis export and add an observed/predicted/contribution audit. If not repaired, remove necrosis from Abstract-level support and describe it as partially audited.</w:t>
      </w:r>
    </w:p>
    <w:p>
      <w:pPr>
        <w:pStyle w:val="Heading1"/>
        <w:spacing w:before="160" w:after="80"/>
      </w:pPr>
      <w:r>
        <w:t>Crosswalk for Major Comment 6. Interpretation of the post-missegregation survival function</w:t>
      </w:r>
    </w:p>
    <w:p>
      <w:pPr>
        <w:spacing w:after="120" w:line="259" w:lineRule="auto"/>
      </w:pPr>
      <w:r>
        <w:rPr>
          <w:b/>
        </w:rPr>
        <w:t>Manuscript location(s):</w:t>
      </w:r>
      <w:r/>
    </w:p>
    <w:p>
      <w:pPr>
        <w:spacing w:after="120" w:line="259" w:lineRule="auto"/>
      </w:pPr>
      <w:r>
        <w:t>- Joint-fit Results: lines 118–122.</w:t>
      </w:r>
    </w:p>
    <w:p>
      <w:pPr>
        <w:spacing w:after="120" w:line="259" w:lineRule="auto"/>
      </w:pPr>
      <w:r>
        <w:t>- Discussion interpretation: lines 230–232.</w:t>
      </w:r>
    </w:p>
    <w:p>
      <w:pPr>
        <w:spacing w:after="120" w:line="259" w:lineRule="auto"/>
      </w:pPr>
      <w:r>
        <w:t>- Survival function method: lines 415–427.</w:t>
      </w:r>
    </w:p>
    <w:p>
      <w:pPr>
        <w:spacing w:after="120" w:line="259" w:lineRule="auto"/>
      </w:pPr>
      <w:r>
        <w:t>- Supplementary table reference: line 997.</w:t>
      </w:r>
    </w:p>
    <w:p>
      <w:pPr>
        <w:spacing w:after="120" w:line="259" w:lineRule="auto"/>
      </w:pPr>
      <w:r>
        <w:rPr>
          <w:b/>
        </w:rPr>
        <w:t>Reviewer concern:</w:t>
      </w:r>
      <w:r>
        <w:t xml:space="preserve"> The corrected function-level result is important but potentially counterintuitive: absolute per-copy survival is higher in vivo, while the ploidy-dependent survival gradient is larger in vitro. The biological meaning of this contrast needs clearer interpretation.</w:t>
      </w:r>
    </w:p>
    <w:p>
      <w:pPr>
        <w:spacing w:after="120" w:line="259" w:lineRule="auto"/>
      </w:pPr>
      <w:r>
        <w:rPr>
          <w:b/>
        </w:rPr>
        <w:t>Basis in the manuscript:</w:t>
      </w:r>
      <w:r>
        <w:t xml:space="preserve"> The manuscript reports in vivo per-copy survival of 0.728–0.952 at 44 chromosomes and 0.901–0.958 at 88 chromosomes, versus in vitro values of 0.204 and 0.837. It also reports that the 44-to-88 gradient is larger in vitro in every pair and numerical solution.</w:t>
      </w:r>
    </w:p>
    <w:p>
      <w:pPr>
        <w:spacing w:after="120" w:line="259" w:lineRule="auto"/>
      </w:pPr>
      <w:r>
        <w:rPr>
          <w:b/>
        </w:rPr>
        <w:t>Background for the concern:</w:t>
      </w:r>
      <w:r>
        <w:t xml:space="preserve"> When a nonlinear biological mechanism is represented by multiple fitted parameters, interpretation should be made at the function level. The manuscript does this correctly, but the resulting direction should be reconciled with the model’s broader claim that tumors impose stronger selective constraints.</w:t>
      </w:r>
    </w:p>
    <w:p>
      <w:pPr>
        <w:spacing w:after="120" w:line="259" w:lineRule="auto"/>
      </w:pPr>
      <w:r>
        <w:rPr>
          <w:b/>
        </w:rPr>
        <w:t>Validation status:</w:t>
      </w:r>
      <w:r>
        <w:t xml:space="preserve"> Validated by the manuscript’s own reported function-level values. The table contents themselves were not visible in the pasted text, so the numeric table cannot be independently audited here.</w:t>
      </w:r>
    </w:p>
    <w:p>
      <w:pPr>
        <w:spacing w:after="120" w:line="259" w:lineRule="auto"/>
      </w:pPr>
      <w:r>
        <w:rPr>
          <w:b/>
        </w:rPr>
        <w:t>Impact on interpretation:</w:t>
      </w:r>
      <w:r>
        <w:t xml:space="preserve"> High for biological interpretation. Mislabeling this result could invert the interpretation of survival filtering across culture and tumor contexts.</w:t>
      </w:r>
    </w:p>
    <w:p>
      <w:pPr>
        <w:spacing w:after="120" w:line="259" w:lineRule="auto"/>
      </w:pPr>
      <w:r>
        <w:rPr>
          <w:b/>
        </w:rPr>
        <w:t>Minimum requested revision:</w:t>
      </w:r>
      <w:r>
        <w:t xml:space="preserve"> Explain whether this is a compensatory model fit, a biological hypothesis, or an identifiability tradeoff. Add a compact main-text function plot or table and remove any remaining wording implying that the survival gradient is stronger in vivo.</w:t>
      </w:r>
    </w:p>
    <w:p>
      <w:pPr>
        <w:pStyle w:val="Heading1"/>
        <w:spacing w:before="160" w:after="80"/>
      </w:pPr>
      <w:r>
        <w:t>Crosswalk for Major Comment 7. Finite-grid boundary handling and CIN-associated dead mass</w:t>
      </w:r>
    </w:p>
    <w:p>
      <w:pPr>
        <w:spacing w:after="120" w:line="259" w:lineRule="auto"/>
      </w:pPr>
      <w:r>
        <w:rPr>
          <w:b/>
        </w:rPr>
        <w:t>Manuscript location(s):</w:t>
      </w:r>
      <w:r/>
    </w:p>
    <w:p>
      <w:pPr>
        <w:spacing w:after="120" w:line="259" w:lineRule="auto"/>
      </w:pPr>
      <w:r>
        <w:t>- Boundary handling methods: lines 430–469.</w:t>
      </w:r>
    </w:p>
    <w:p>
      <w:pPr>
        <w:spacing w:after="120" w:line="259" w:lineRule="auto"/>
      </w:pPr>
      <w:r>
        <w:t>- In vitro result and Figure 3E: lines 100 and 155–160.</w:t>
      </w:r>
    </w:p>
    <w:p>
      <w:pPr>
        <w:spacing w:after="120" w:line="259" w:lineRule="auto"/>
      </w:pPr>
      <w:r>
        <w:t>- Necrosis/dead compartments: lines 615–649.</w:t>
      </w:r>
    </w:p>
    <w:p>
      <w:pPr>
        <w:spacing w:after="120" w:line="259" w:lineRule="auto"/>
      </w:pPr>
      <w:r>
        <w:t>- Discussion implementation limitation: line 242.</w:t>
      </w:r>
    </w:p>
    <w:p>
      <w:pPr>
        <w:spacing w:after="120" w:line="259" w:lineRule="auto"/>
      </w:pPr>
      <w:r>
        <w:rPr>
          <w:b/>
        </w:rPr>
        <w:t>Reviewer concern:</w:t>
      </w:r>
      <w:r>
        <w:t xml:space="preserve"> The CIN-associated dead compartment combines biological daughter nonviability with finite-grid boundary loss. This may influence inferred dead-buffer losses and any interpretation that high-ploidy decline occurs without direct hypoxia-origin death.</w:t>
      </w:r>
    </w:p>
    <w:p>
      <w:pPr>
        <w:spacing w:after="120" w:line="259" w:lineRule="auto"/>
      </w:pPr>
      <w:r>
        <w:rPr>
          <w:b/>
        </w:rPr>
        <w:t>Basis in the manuscript:</w:t>
      </w:r>
      <w:r>
        <w:t xml:space="preserve"> The methods explicitly route out-of-domain ordinary daughters and out-of-grid WGD mass to the CIN-associated dead compartment. The Discussion acknowledges the combined biological/computational nature of this compartment.</w:t>
      </w:r>
    </w:p>
    <w:p>
      <w:pPr>
        <w:spacing w:after="120" w:line="259" w:lineRule="auto"/>
      </w:pPr>
      <w:r>
        <w:rPr>
          <w:b/>
        </w:rPr>
        <w:t>Background for the concern:</w:t>
      </w:r>
      <w:r>
        <w:t xml:space="preserve"> Finite-state models can create artificial mass loss near state-space boundaries. If that mass is biologically interpreted as nonviability or contributes to dead biomass, boundary sensitivity should be quantified.</w:t>
      </w:r>
    </w:p>
    <w:p>
      <w:pPr>
        <w:spacing w:after="120" w:line="259" w:lineRule="auto"/>
      </w:pPr>
      <w:r>
        <w:rPr>
          <w:b/>
        </w:rPr>
        <w:t>Validation status:</w:t>
      </w:r>
      <w:r>
        <w:t xml:space="preserve"> Validated by the model equations and discussion. The magnitude of the issue is not validated from the pasted manuscript because the required mass decomposition is not provided.</w:t>
      </w:r>
    </w:p>
    <w:p>
      <w:pPr>
        <w:spacing w:after="120" w:line="259" w:lineRule="auto"/>
      </w:pPr>
      <w:r>
        <w:rPr>
          <w:b/>
        </w:rPr>
        <w:t>Impact on interpretation:</w:t>
      </w:r>
      <w:r>
        <w:t xml:space="preserve"> Moderate to high. The concern affects interpretation of 4N decline, dead-buffer losses, and necrosis-related constraints. It may not overturn the conclusions, but it should be bounded.</w:t>
      </w:r>
    </w:p>
    <w:p>
      <w:pPr>
        <w:spacing w:after="120" w:line="259" w:lineRule="auto"/>
      </w:pPr>
      <w:r>
        <w:rPr>
          <w:b/>
        </w:rPr>
        <w:t>Minimum requested revision:</w:t>
      </w:r>
      <w:r>
        <w:t xml:space="preserve"> Add a mass ledger decomposing CIN-associated dead inflow into viability-filtered loss, lower-bound loss, upper-bound loss, and out-of-grid WGD loss. Include a grid-sensitivity check or a rationale showing that Nmax and Nmin do not drive the main conclusions.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