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 Report for Revised Manuscript</w:t>
      </w:r>
    </w:p>
    <w:p>
      <w:pPr>
        <w:spacing w:after="120" w:line="259" w:lineRule="auto"/>
      </w:pPr>
      <w:r>
        <w:t>Manuscript reviewed: A resource-stress model identifies context-dependent regimes of chromosome instability and ploidy evolution in matched SUM159 culture and tumor models.</w:t>
      </w:r>
    </w:p>
    <w:p>
      <w:pPr>
        <w:spacing w:after="120" w:line="259" w:lineRule="auto"/>
      </w:pPr>
      <w:r>
        <w:t>Review basis: revised LaTeX manuscript supplied as Pasted text(1).txt; figures and external \input tables were evaluated only through their captions and textual references where the pasted manuscript did not include the underlying files.</w:t>
      </w:r>
    </w:p>
    <w:p>
      <w:pPr>
        <w:spacing w:after="120" w:line="259" w:lineRule="auto"/>
      </w:pPr>
      <w:r>
        <w:rPr>
          <w:b/>
        </w:rPr>
        <w:t>Recommendation:</w:t>
      </w:r>
      <w:r>
        <w:t xml:space="preserve"> Major revision.</w:t>
      </w:r>
    </w:p>
    <w:p>
      <w:pPr>
        <w:pStyle w:val="Heading1"/>
        <w:spacing w:before="160" w:after="80"/>
      </w:pPr>
      <w:r>
        <w:t>Summary</w:t>
      </w:r>
    </w:p>
    <w:p>
      <w:pPr>
        <w:spacing w:after="120" w:line="259" w:lineRule="auto"/>
      </w:pPr>
      <w:r>
        <w:t>This revised manuscript presents a chromosome-number-structured resource-stress model for matched near-diploid and near-tetraploid SUM159 culture and tumor systems. The model integrates in vitro passage growth, chromosome-number, and flow-density data with in vivo tumor burden, terminal chromosome-number profiles, and necrosis-related constraints. The revised version is substantially more careful than the earlier draft. It explicitly states that oxygen is a latent model variable in vivo, that fixed-O2 evaluations are analytical model diagnostics rather than interventions, that optimizer seeds are not biological replicates, and that joint-fit contrasts are conditional on the sampled retained differential-evolution basins.</w:t>
      </w:r>
    </w:p>
    <w:p>
      <w:pPr>
        <w:spacing w:after="120" w:line="259" w:lineRule="auto"/>
      </w:pPr>
      <w:r>
        <w:t>The strongest aspects of the manuscript are the mechanistic transparency of the model, the explicit separation of live, hypoxia-origin dead, and CIN-associated dead compartments, the improved function-level interpretation of post-missegregation survival, and the much more cautious reporting of search and identifiability limitations. The manuscript is now closer to a rigorous modeling paper. However, several issues still need major revision before the claims are sufficiently supported: the central framing remains slightly stronger than the evidence; the in vitro branch-level fit limitation needs direct visualization; fixed-O2 response classes need reliability-stratified interpretation; joint context contrasts require sensitivity to the in vitro anchor and coupling penalty; necrosis needs an auditable export; and finite-grid boundary effects should be quantified.</w:t>
      </w:r>
    </w:p>
    <w:p>
      <w:pPr>
        <w:pStyle w:val="Heading1"/>
        <w:spacing w:before="160" w:after="80"/>
      </w:pPr>
      <w:r>
        <w:t>Major Comments</w:t>
      </w:r>
    </w:p>
    <w:p>
      <w:pPr>
        <w:pStyle w:val="Heading2"/>
        <w:spacing w:before="160" w:after="80"/>
      </w:pPr>
      <w:r>
        <w:t>Major Comment 1. The manuscript is appropriately more cautious than the prior draft, but the main claim still needs to be framed as a conditional, hypothesis-generating model result throughout the title, abstract, and section headings.</w:t>
      </w:r>
    </w:p>
    <w:p>
      <w:pPr>
        <w:spacing w:after="120" w:line="259" w:lineRule="auto"/>
      </w:pPr>
      <w:r>
        <w:t>The revised manuscript makes many important caveats explicit: optimizer starts are not biological replicates, fitted oxygen is not directly measured, several conclusions are conditional on the fitted model, and the joint analysis covers only six retained differential-evolution basins. These revisions materially improve the manuscript. However, the title still states that the model “identifies context-dependent regimes,” and several result headings remain stronger than the actual evidentiary status. The current evidence supports a conditional modeling framework and a set of reproducible fitted contrasts within the sampled searches, not definitive biological regime identification.</w:t>
      </w:r>
    </w:p>
    <w:p>
      <w:pPr>
        <w:spacing w:after="120" w:line="259" w:lineRule="auto"/>
      </w:pPr>
      <w:r>
        <w:t>This issue matters because the manuscript itself reports practical non-identifiability, multiple compatible fixed-O2 response classes, boundary-limited parameters, rejected local refinements, active parameter bounds in all joint solutions, and near-saturated soft-coupling penalties. These are not peripheral limitations; they directly govern how strongly the model can distinguish biological mechanisms. I recommend changing the title and main result framing from “identifies” or “distinguish” to wording such as “supports,” “suggests,” or “resolves within sampled fitted basins,” and adding a brief statement in the final paragraph of the Abstract that the study provides testable hypotheses rather than resolved causal mechanisms.</w:t>
      </w:r>
    </w:p>
    <w:p>
      <w:pPr>
        <w:pStyle w:val="Heading2"/>
        <w:spacing w:before="160" w:after="80"/>
      </w:pPr>
      <w:r>
        <w:t>Major Comment 2. The in vitro result is now more accurately described, but the manuscript should explicitly show the fit failure for the late deprived 2N branch and limit mechanistic claims to the part of the data that the model actually reproduces.</w:t>
      </w:r>
    </w:p>
    <w:p>
      <w:pPr>
        <w:spacing w:after="120" w:line="259" w:lineRule="auto"/>
      </w:pPr>
      <w:r>
        <w:t>The revised Results section states that the separate in vitro fit generated a mixed chromosome-number distribution but did not reproduce the late divergence between the two deprived 2N branches. This is an important and honest correction. However, the central mechanistic interpretation—that hypoxia can reshape ploidy without strong direct hypoxia-associated elimination—still depends on readers understanding what was and was not captured by the fit. The text gives the observed final branch means and the fitted prediction range, but the figure caption and main figure description do not make clear enough that one late branch remains substantially underfit.</w:t>
      </w:r>
    </w:p>
    <w:p>
      <w:pPr>
        <w:spacing w:after="120" w:line="259" w:lineRule="auto"/>
      </w:pPr>
      <w:r>
        <w:t>The authors should add a direct visual and quantitative diagnostic for the deprived 2N branch, ideally showing observed branch-level endpoints overlaid with the ten lowest-objective fits, with residuals or a short supplemental fit-quality panel. The main claim should be restricted to “the model can produce a mixed distribution and a 4N-lineage decline without large direct hypoxia-origin death,” rather than implying that the full deprived in vitro trajectory is explained. This distinction is central because the missed branch may represent an unmodeled process, branch-specific adaptation, measurement/replicate heterogeneity, or a limitation of the shared lineage-level model.</w:t>
      </w:r>
    </w:p>
    <w:p>
      <w:pPr>
        <w:pStyle w:val="Heading2"/>
        <w:spacing w:before="160" w:after="80"/>
      </w:pPr>
      <w:r>
        <w:t>Major Comment 3. The fixed-O2 attractor analysis should be reorganized around spectral-gap reliability, because the current response-class interpretation is dominated by solutions that are classified as caution or unreliable.</w:t>
      </w:r>
    </w:p>
    <w:p>
      <w:pPr>
        <w:spacing w:after="120" w:line="259" w:lineRule="auto"/>
      </w:pPr>
      <w:r>
        <w:t>The manuscript reports that, among 500 separate in vivo fits, only 141 met the specified spectral-gap reliability criterion, while 168 were caution and 191 were unreliable. It also states that the six selected separate-in vivo warm-start representatives were three caution and three unreliable. These facts substantially affect the interpretation of the fixed-O2 response classes and the downstream landscape-informed joint warm starts.</w:t>
      </w:r>
    </w:p>
    <w:p>
      <w:pPr>
        <w:spacing w:after="120" w:line="259" w:lineRule="auto"/>
      </w:pPr>
      <w:r>
        <w:t>The response-class counts are currently presented as pooled counts across reliable, caution, and unreliable strata. This is useful for transparency, but it should not be the primary biological interpretation. The authors should provide a reliability-stratified version of the response-class summary and, where possible, a reliable-only or sensitivity-filtered version of the fixed-O2 plots. At minimum, the main text should explicitly state how the inferred class composition changes when unreliable curves are excluded and whether the selected warm-start representatives remain justified if none of them pass the reliability threshold. Otherwise, the reader may overinterpret curve classes that may reflect weak eigendirection separation rather than stable asymptotic ploidy regimes.</w:t>
      </w:r>
    </w:p>
    <w:p>
      <w:pPr>
        <w:pStyle w:val="Heading2"/>
        <w:spacing w:before="160" w:after="80"/>
      </w:pPr>
      <w:r>
        <w:t>Major Comment 4. The joint-fit context contrasts require additional sensitivity analyses across in vitro anchors, penalty behavior, and active-bound/basin selection before they can be treated as robust context effects.</w:t>
      </w:r>
    </w:p>
    <w:p>
      <w:pPr>
        <w:spacing w:after="120" w:line="259" w:lineRule="auto"/>
      </w:pPr>
      <w:r>
        <w:t>The revised manuscript now clearly states that all six joint warm-start pairs share the same lowest-objective in vitro seed-10 anchor, that the remaining in vitro subclusters were not represented, that all 3,000 joint local refinements were rejected, that every joint solution had at least one active parameter bound, and that the bounded Welsch penalty was often close to saturation. These are critical diagnostics. They mean the observed directional concordance is informative, but it remains a statement about six sampled retained differential-evolution basins anchored to one in vitro solution, not a robust cross-landscape estimate of tumor-versus-culture biology.</w:t>
      </w:r>
    </w:p>
    <w:p>
      <w:pPr>
        <w:spacing w:after="120" w:line="259" w:lineRule="auto"/>
      </w:pPr>
      <w:r>
        <w:t>Before the manuscript makes strong claims about lower in vivo maximal division rate, higher in vivo effective missegregation probability, or altered survival functions, the authors should add at least one sensitivity layer: for example, rerun or summarize joint fits using representative in vitro anchors from additional in vitro subclusters; repeat the joint comparison with alternative soft-coupling scales or an unsaturated quadratic penalty; or report whether the key function-level contrasts remain when excluding solutions at active bounds. If new computation is not feasible, the claims should be downgraded further and presented as directional hypotheses from the currently sampled basins.</w:t>
      </w:r>
    </w:p>
    <w:p>
      <w:pPr>
        <w:pStyle w:val="Heading2"/>
        <w:spacing w:before="160" w:after="80"/>
      </w:pPr>
      <w:r>
        <w:t>Major Comment 5. The necrosis component remains insufficiently reproducible and should be repaired or clearly de-emphasized before publication.</w:t>
      </w:r>
    </w:p>
    <w:p>
      <w:pPr>
        <w:spacing w:after="120" w:line="259" w:lineRule="auto"/>
      </w:pPr>
      <w:r>
        <w:t>The manuscript states that terminal necrosis is one of the in vivo calibration modalities and that necrosis is compared with the simulated terminal fraction of total dead biomass. It also reports reconstructed terminal necrosis-fraction MAE values. However, the Discussion acknowledges that the current per-sample necrosis_fit.tsv exports contain missing predicted values and that the terminal necrosis audit was reconstructed from stored model states and objective components.</w:t>
      </w:r>
    </w:p>
    <w:p>
      <w:pPr>
        <w:spacing w:after="120" w:line="259" w:lineRule="auto"/>
      </w:pPr>
      <w:r>
        <w:t>Because terminal necrosis is included in the Abstract and the in vivo objective, this is not merely a cosmetic export problem. A reviewer must be able to trace each observed necrosis fraction to the corresponding predicted fraction, transformed discrepancy, and contribution to the objective. The authors should repair the row-level necrosis export and provide a small audit table, including the number of tumors with histology, observed fraction, predicted fraction, logit-transformed residual, and weighted contribution. If this cannot be repaired before submission, necrosis should be removed from the Abstract-level support statement and treated as an exploratory or partially audited constraint.</w:t>
      </w:r>
    </w:p>
    <w:p>
      <w:pPr>
        <w:pStyle w:val="Heading2"/>
        <w:spacing w:before="160" w:after="80"/>
      </w:pPr>
      <w:r>
        <w:t>Major Comment 6. The biological interpretation of the post-missegregation survival function should be clarified because the revised function-level result is two-part and potentially counterintuitive.</w:t>
      </w:r>
    </w:p>
    <w:p>
      <w:pPr>
        <w:spacing w:after="120" w:line="259" w:lineRule="auto"/>
      </w:pPr>
      <w:r>
        <w:t>The revision usefully corrects a parameter-level ambiguity by evaluating the complete post-missegregation survival function. The result is more nuanced than the earlier language: per-copy survival is higher in vivo at 44 and 88 chromosomes, whereas the survival gradient from 44 to 88 chromosomes is consistently larger in vitro. This is an important finding, but it should be interpreted cautiously because “higher survival of altered daughters in vivo” may seem inconsistent with the broader framing that tumors impose stronger resource constraints and stronger selective filtering.</w:t>
      </w:r>
    </w:p>
    <w:p>
      <w:pPr>
        <w:spacing w:after="120" w:line="259" w:lineRule="auto"/>
      </w:pPr>
      <w:r>
        <w:t>The authors should explicitly explain whether this function-level contrast is interpreted as a compensatory fitted mechanism, as an identifiability tradeoff with lower lambda_max and higher death/missegregation terms, or as a candidate biological hypothesis. The phrase “post-missegregation survival filter is more ploidy-dependent in vivo” should not appear anywhere unless it is replaced by the corrected two-part result. I also recommend bringing a compact function-level plot or table into the main Results rather than relying mainly on Supplementary Table references, because this point is central to the revised joint-fit conclusion.</w:t>
      </w:r>
    </w:p>
    <w:p>
      <w:pPr>
        <w:pStyle w:val="Heading2"/>
        <w:spacing w:before="160" w:after="80"/>
      </w:pPr>
      <w:r>
        <w:t>Major Comment 7. The finite chromosome-grid boundary handling could materially affect the dead-compartment and ploidy-reshaping conclusions, and it requires a grid-sensitivity or mass-accounting audit.</w:t>
      </w:r>
    </w:p>
    <w:p>
      <w:pPr>
        <w:spacing w:after="120" w:line="259" w:lineRule="auto"/>
      </w:pPr>
      <w:r>
        <w:t>The model routes out-of-grid daughter cells and out-of-grid WGD-derived lineages into the CIN-associated dead compartment. The Discussion acknowledges that this compartment combines biological nonviability with finite-grid boundary loss. This implementation choice can influence exactly the quantities used to interpret ploidy reshaping, dead-buffer losses, necrosis-like dead biomass, and the claim that high-ploidy decline does not require direct hypoxia-origin elimination.</w:t>
      </w:r>
    </w:p>
    <w:p>
      <w:pPr>
        <w:spacing w:after="120" w:line="259" w:lineRule="auto"/>
      </w:pPr>
      <w:r>
        <w:t>The authors should quantify how much CIN-associated dead mass comes from viability filtering versus lower-bound or upper-bound grid loss, particularly for the 4N severe-deprivation lineage and for joint/in vivo trajectories in which high-ploidy states may approach the upper grid. A sensitivity run or post hoc audit with a larger N_max, or at least a decomposed mass ledger, would show whether the central conclusions are robust to finite-grid boundary design. Without this, boundary routing remains a plausible computational contributor to inferred dead-buffer losses and to apparent selection against extreme high-ploidy states.</w:t>
      </w:r>
    </w:p>
    <w:p>
      <w:pPr>
        <w:pStyle w:val="Heading1"/>
        <w:spacing w:before="160" w:after="80"/>
      </w:pPr>
      <w:r>
        <w:t>Minor Comments</w:t>
      </w:r>
    </w:p>
    <w:p>
      <w:pPr>
        <w:spacing w:after="120" w:line="259" w:lineRule="auto"/>
      </w:pPr>
      <w:r>
        <w:t>Minor Comment 1. Define “matched” carefully. The revised text correctly says the in vitro and in vivo datasets are not biological replicates, but the title and several captions still use “matched” in a way that could be read as stronger than “shared lineage origin.” Consider “lineage-matched” or “corresponding SUM159 lineages” in the title and first Results heading.</w:t>
      </w:r>
    </w:p>
    <w:p>
      <w:pPr>
        <w:spacing w:after="120" w:line="259" w:lineRule="auto"/>
      </w:pPr>
      <w:r>
        <w:t>Minor Comment 2. The Abstract is informative but long. Consider shortening the numerical details while keeping the key limitations: one sentence for model/data, one for in vitro support and limitation, one for in vivo uncertainty, one for joint-fit function-level contrasts, and one for interpretation limits.</w:t>
      </w:r>
    </w:p>
    <w:p>
      <w:pPr>
        <w:spacing w:after="120" w:line="259" w:lineRule="auto"/>
      </w:pPr>
      <w:r>
        <w:t>Minor Comment 3. The manuscript uses “oxygen deprivation,” “hypoxia,” “anoxia,” and “target 0% O2.” Please consistently distinguish target oxygen conditions in culture from measured oxygen tension and from latent fitted in vivo oxygen.</w:t>
      </w:r>
    </w:p>
    <w:p>
      <w:pPr>
        <w:spacing w:after="120" w:line="259" w:lineRule="auto"/>
      </w:pPr>
      <w:r>
        <w:t>Minor Comment 4. In Figure 5B, CatA/CatB/CatC labels may be confused with response classes or biological categories. Rename them to something explicitly descriptive, such as “joint long-term trajectory pattern A/B/C,” and define the trajectory criteria.</w:t>
      </w:r>
    </w:p>
    <w:p>
      <w:pPr>
        <w:spacing w:after="120" w:line="259" w:lineRule="auto"/>
      </w:pPr>
      <w:r>
        <w:t>Minor Comment 5. The Methods should define all optimizer convergence codes that are reported in the text. For example, convergence code 52 and convergence code 1 should be explained or moved to a reproducibility table.</w:t>
      </w:r>
    </w:p>
    <w:p>
      <w:pPr>
        <w:spacing w:after="120" w:line="259" w:lineRule="auto"/>
      </w:pPr>
      <w:r>
        <w:t>Minor Comment 6. The in vitro O1/O2 branch status is handled appropriately as “parallel lineages,” but the likelihood treatment should explicitly state whether branch-level observations are treated as independent observations, pooled observations, or replicate-like observations after median segment summarization.</w:t>
      </w:r>
    </w:p>
    <w:p>
      <w:pPr>
        <w:spacing w:after="120" w:line="259" w:lineRule="auto"/>
      </w:pPr>
      <w:r>
        <w:t>Minor Comment 7. Because some conclusions depend on “ten lowest-objective fits,” specify whether these are selected before or after local refinement, and whether ties or near ties were handled by objective alone.</w:t>
      </w:r>
    </w:p>
    <w:p>
      <w:pPr>
        <w:spacing w:after="120" w:line="259" w:lineRule="auto"/>
      </w:pPr>
      <w:r>
        <w:t>Minor Comment 8. The table inputs at the end of the manuscript should be included with the submission and should be auditable. The pasted manuscript references parameter and joint-function tables by \input, but their contents were not visible in the supplied revised text.</w:t>
      </w:r>
    </w:p>
    <w:p>
      <w:pPr>
        <w:spacing w:after="120" w:line="259" w:lineRule="auto"/>
      </w:pPr>
      <w:r>
        <w:t>Minor Comment 9. The CLONEID reference should be checked for bibliographic completeness and accessibility, because the manuscript cites it as the source for processed data organization.</w:t>
      </w:r>
    </w:p>
    <w:p>
      <w:pPr>
        <w:spacing w:after="120" w:line="259" w:lineRule="auto"/>
      </w:pPr>
      <w:r>
        <w:t>Minor Comment 10. The manuscript would benefit from a concise “What is directly observed versus inferred” sentence in each major Results subsection, especially for in vivo trajectories, fixed-O2 attractors, and joint-fit context contrasts.</w:t>
      </w:r>
    </w:p>
    <w:p>
      <w:pPr>
        <w:pStyle w:val="Heading1"/>
        <w:spacing w:before="160" w:after="80"/>
      </w:pPr>
      <w:r>
        <w:t>Overall Assessment</w:t>
      </w:r>
    </w:p>
    <w:p>
      <w:pPr>
        <w:spacing w:after="120" w:line="259" w:lineRule="auto"/>
      </w:pPr>
      <w:r>
        <w:t>The revised manuscript has moved in the right direction and now contains many of the caveats required for a credible computational modeling paper. I would not recommend rejection on scientific grounds because the study has a coherent mechanistic framework, a relevant biological question, and useful model-derived hypotheses. However, I recommend major revision because the remaining issues affect the strength and reproducibility of the central claims. The most important revisions are to align the title/abstract with the conditional evidence, add fit-quality and reliability-stratified diagnostics, repair the necrosis audit trail, and test or further qualify the joint-fit contrasts.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