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spacing w:after="0"/>
      </w:pPr>
    </w:p>
    <w:p>
      <w:pPr>
        <w:spacing w:after="0"/>
      </w:pPr>
    </w:p>
    <w:p>
      <w:pPr>
        <w:spacing w:after="0"/>
      </w:pPr>
    </w:p>
    <w:p>
      <w:pPr>
        <w:spacing w:after="0"/>
      </w:pPr>
    </w:p>
    <w:p>
      <w:pPr>
        <w:spacing w:after="200"/>
        <w:jc w:val="center"/>
      </w:pPr>
      <w:r>
        <w:rPr>
          <w:rFonts w:ascii="Calibri" w:hAnsi="Calibri"/>
          <w:b/>
          <w:color w:val="1F4D78"/>
          <w:sz w:val="24"/>
        </w:rPr>
        <w:t>BLOCKCHAIN-BASED LAND MANAGEMENT SYSTEM (BLMS)</w:t>
      </w:r>
    </w:p>
    <w:p>
      <w:pPr>
        <w:spacing w:after="240"/>
        <w:jc w:val="center"/>
      </w:pPr>
      <w:r>
        <w:rPr>
          <w:rFonts w:ascii="Calibri" w:hAnsi="Calibri"/>
          <w:b/>
          <w:color w:val="1F2937"/>
          <w:sz w:val="46"/>
        </w:rPr>
        <w:t>Implementation Results Report</w:t>
      </w:r>
    </w:p>
    <w:p>
      <w:pPr>
        <w:spacing w:after="560"/>
        <w:jc w:val="center"/>
      </w:pPr>
      <w:r>
        <w:rPr>
          <w:rFonts w:ascii="Calibri" w:hAnsi="Calibri"/>
          <w:i/>
          <w:color w:val="5B6573"/>
          <w:sz w:val="26"/>
        </w:rPr>
        <w:t>Verified results of the locally runnable BLMS research prototype</w:t>
      </w:r>
    </w:p>
    <w:p>
      <w:pPr>
        <w:jc w:val="center"/>
      </w:pPr>
      <w:r>
        <w:rPr>
          <w:rFonts w:ascii="Calibri" w:hAnsi="Calibri"/>
          <w:b/>
          <w:color w:val="1F2937"/>
          <w:sz w:val="24"/>
        </w:rPr>
        <w:t>Lecturer Submission</w:t>
      </w:r>
    </w:p>
    <w:p>
      <w:pPr>
        <w:spacing w:before="1720"/>
        <w:jc w:val="center"/>
      </w:pPr>
      <w:r>
        <w:rPr>
          <w:rFonts w:ascii="Calibri" w:hAnsi="Calibri"/>
          <w:color w:val="1F2937"/>
          <w:sz w:val="24"/>
        </w:rPr>
        <w:t>Prepared by</w:t>
        <w:br/>
        <w:t>OMO LOUIS</w:t>
        <w:br/>
        <w:t>Department of Computer Science</w:t>
        <w:br/>
        <w:t>Faculty of Science</w:t>
      </w:r>
    </w:p>
    <w:p>
      <w:pPr>
        <w:spacing w:before="1040"/>
        <w:jc w:val="center"/>
      </w:pPr>
      <w:r>
        <w:rPr>
          <w:rFonts w:ascii="Calibri" w:hAnsi="Calibri"/>
          <w:color w:val="5B6573"/>
          <w:sz w:val="22"/>
        </w:rPr>
        <w:t>July 2026</w:t>
      </w:r>
    </w:p>
    <w:p>
      <w:r>
        <w:br w:type="page"/>
      </w:r>
    </w:p>
    <w:p>
      <w:pPr>
        <w:pStyle w:val="Heading1"/>
      </w:pPr>
      <w:r>
        <w:t>Executive summary</w:t>
      </w:r>
    </w:p>
    <w:p>
      <w:r>
        <w:rPr>
          <w:rFonts w:ascii="Calibri" w:hAnsi="Calibri"/>
          <w:i w:val="0"/>
        </w:rPr>
        <w:t>The Blockchain-Based Land Management System (BLMS) has been implemented as a locally runnable academic prototype and deployed as a static browser application for demonstration. Its default path does not require Docker, a database service, IPFS, Hyperledger Fabric, an API server, environment variables, or external identity services. The deployed application uses browser-local storage and clearly synthetic development identities. This report presents only verified functionality and test evidence. It also records the boundary between the working local prototype and the remaining Hyperledger Fabric integration work.</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bottom w:w="80" w:type="dxa"/>
              <w:start w:w="120" w:type="dxa"/>
              <w:end w:w="120" w:type="dxa"/>
            </w:tcMar>
            <w:shd w:fill="F4F6F9"/>
          </w:tcPr>
          <w:p>
            <w:pPr>
              <w:spacing w:after="0"/>
            </w:pPr>
            <w:r>
              <w:rPr>
                <w:rFonts w:ascii="Calibri" w:hAnsi="Calibri"/>
                <w:b/>
                <w:color w:val="1F4D78"/>
                <w:sz w:val="21"/>
              </w:rPr>
              <w:t xml:space="preserve">Implementation status. </w:t>
            </w:r>
            <w:r>
              <w:rPr>
                <w:rFonts w:ascii="Calibri" w:hAnsi="Calibri"/>
                <w:color w:val="1F2937"/>
                <w:sz w:val="21"/>
              </w:rPr>
              <w:t>The local workflow is implemented and verified. The Go chaincode source is present as a Fabric research artifact. A live two-organisation Fabric network, Node Gateway adapter, live IPFS node, NIMC integration, Caliper benchmark, and expert evaluation are not yet implemented or executed.</w:t>
            </w:r>
          </w:p>
        </w:tc>
      </w:tr>
    </w:tbl>
    <w:p>
      <w:pPr>
        <w:spacing w:after="0"/>
      </w:pPr>
    </w:p>
    <w:p>
      <w:pPr>
        <w:pStyle w:val="Heading1"/>
      </w:pPr>
      <w:r>
        <w:t>1. Project objective and delivery approach</w:t>
      </w:r>
    </w:p>
    <w:p>
      <w:r>
        <w:rPr>
          <w:rFonts w:ascii="Calibri" w:hAnsi="Calibri"/>
          <w:i w:val="0"/>
        </w:rPr>
        <w:t>BLMS addresses the need for more secure and transparent land-administration workflows by modelling land registration, ownership, document verification, sale listing, simulated transfer, government levy management, audit history, and revenue summary. The delivery approach was phased so the project could be tested locally and deployed for a supervisor demonstration without the cost and operational complexity of a blockchain network.</w:t>
      </w:r>
    </w:p>
    <w:tbl>
      <w:tblPr>
        <w:tblStyle w:val="TableGrid"/>
        <w:tblW w:type="dxa" w:w="9360"/>
        <w:jc w:val="left"/>
        <w:tblLayout w:type="fixed"/>
        <w:tblLook w:firstColumn="1" w:firstRow="1" w:lastColumn="0" w:lastRow="0" w:noHBand="0" w:noVBand="1" w:val="04A0"/>
        <w:tblInd w:w="120" w:type="dxa"/>
      </w:tblPr>
      <w:tblGrid>
        <w:gridCol w:w="1440"/>
        <w:gridCol w:w="4920"/>
        <w:gridCol w:w="3000"/>
      </w:tblGrid>
      <w:tr>
        <w:trPr>
          <w:tblHeader w:val="true"/>
        </w:trPr>
        <w:tc>
          <w:tcPr>
            <w:tcW w:type="dxa" w:w="1440"/>
            <w:vAlign w:val="center"/>
            <w:tcMar>
              <w:top w:w="80" w:type="dxa"/>
              <w:bottom w:w="80" w:type="dxa"/>
              <w:start w:w="120" w:type="dxa"/>
              <w:end w:w="120" w:type="dxa"/>
            </w:tcMar>
            <w:shd w:fill="E8EEF5"/>
          </w:tcPr>
          <w:p>
            <w:pPr>
              <w:pStyle w:val="TableText"/>
            </w:pPr>
            <w:r>
              <w:rPr>
                <w:rFonts w:ascii="Calibri" w:hAnsi="Calibri"/>
                <w:b/>
                <w:color w:val="1F4D78"/>
                <w:sz w:val="19"/>
              </w:rPr>
              <w:t>Phase</w:t>
            </w:r>
          </w:p>
        </w:tc>
        <w:tc>
          <w:tcPr>
            <w:tcW w:type="dxa" w:w="4920"/>
            <w:vAlign w:val="center"/>
            <w:tcMar>
              <w:top w:w="80" w:type="dxa"/>
              <w:bottom w:w="80" w:type="dxa"/>
              <w:start w:w="120" w:type="dxa"/>
              <w:end w:w="120" w:type="dxa"/>
            </w:tcMar>
            <w:shd w:fill="E8EEF5"/>
          </w:tcPr>
          <w:p>
            <w:pPr>
              <w:pStyle w:val="TableText"/>
            </w:pPr>
            <w:r>
              <w:rPr>
                <w:rFonts w:ascii="Calibri" w:hAnsi="Calibri"/>
                <w:b/>
                <w:color w:val="1F4D78"/>
                <w:sz w:val="19"/>
              </w:rPr>
              <w:t>Delivered outcome</w:t>
            </w:r>
          </w:p>
        </w:tc>
        <w:tc>
          <w:tcPr>
            <w:tcW w:type="dxa" w:w="3000"/>
            <w:vAlign w:val="center"/>
            <w:tcMar>
              <w:top w:w="80" w:type="dxa"/>
              <w:bottom w:w="80" w:type="dxa"/>
              <w:start w:w="120" w:type="dxa"/>
              <w:end w:w="120" w:type="dxa"/>
            </w:tcMar>
            <w:shd w:fill="E8EEF5"/>
          </w:tcPr>
          <w:p>
            <w:pPr>
              <w:pStyle w:val="TableText"/>
            </w:pPr>
            <w:r>
              <w:rPr>
                <w:rFonts w:ascii="Calibri" w:hAnsi="Calibri"/>
                <w:b/>
                <w:color w:val="1F4D78"/>
                <w:sz w:val="19"/>
              </w:rPr>
              <w:t>Verification status</w:t>
            </w:r>
          </w:p>
        </w:tc>
      </w:tr>
      <w:tr>
        <w:tc>
          <w:tcPr>
            <w:tcW w:type="dxa" w:w="1440"/>
          </w:tcPr>
          <w:p>
            <w:pPr>
              <w:pStyle w:val="TableText"/>
            </w:pPr>
            <w:r>
              <w:rPr>
                <w:rFonts w:ascii="Calibri" w:hAnsi="Calibri"/>
                <w:color w:val="1F2937"/>
                <w:sz w:val="19"/>
              </w:rPr>
              <w:t>1. Foundation</w:t>
            </w:r>
          </w:p>
        </w:tc>
        <w:tc>
          <w:tcPr>
            <w:tcW w:type="dxa" w:w="4920"/>
          </w:tcPr>
          <w:p>
            <w:pPr>
              <w:pStyle w:val="TableText"/>
            </w:pPr>
            <w:r>
              <w:rPr>
                <w:rFonts w:ascii="Calibri" w:hAnsi="Calibri"/>
                <w:color w:val="1F2937"/>
                <w:sz w:val="19"/>
              </w:rPr>
              <w:t>TypeScript monorepo, shared data contracts, API, identity gateway, and project documentation.</w:t>
            </w:r>
          </w:p>
        </w:tc>
        <w:tc>
          <w:tcPr>
            <w:tcW w:type="dxa" w:w="3000"/>
          </w:tcPr>
          <w:p>
            <w:pPr>
              <w:pStyle w:val="TableText"/>
            </w:pPr>
            <w:r>
              <w:rPr>
                <w:rFonts w:ascii="Calibri" w:hAnsi="Calibri"/>
                <w:color w:val="1F2937"/>
                <w:sz w:val="19"/>
              </w:rPr>
              <w:t>Type-checked.</w:t>
            </w:r>
          </w:p>
        </w:tc>
      </w:tr>
      <w:tr>
        <w:tc>
          <w:tcPr>
            <w:tcW w:type="dxa" w:w="1440"/>
          </w:tcPr>
          <w:p>
            <w:pPr>
              <w:pStyle w:val="TableText"/>
            </w:pPr>
            <w:r>
              <w:rPr>
                <w:rFonts w:ascii="Calibri" w:hAnsi="Calibri"/>
                <w:color w:val="1F2937"/>
                <w:sz w:val="19"/>
              </w:rPr>
              <w:t>2. Local workflow</w:t>
            </w:r>
          </w:p>
        </w:tc>
        <w:tc>
          <w:tcPr>
            <w:tcW w:type="dxa" w:w="4920"/>
          </w:tcPr>
          <w:p>
            <w:pPr>
              <w:pStyle w:val="TableText"/>
            </w:pPr>
            <w:r>
              <w:rPr>
                <w:rFonts w:ascii="Calibri" w:hAnsi="Calibri"/>
                <w:color w:val="1F2937"/>
                <w:sz w:val="19"/>
              </w:rPr>
              <w:t>Authentication, roles, parcels, registration, marketplace, transfer, audit, and revenue workflow.</w:t>
            </w:r>
          </w:p>
        </w:tc>
        <w:tc>
          <w:tcPr>
            <w:tcW w:type="dxa" w:w="3000"/>
          </w:tcPr>
          <w:p>
            <w:pPr>
              <w:pStyle w:val="TableText"/>
            </w:pPr>
            <w:r>
              <w:rPr>
                <w:rFonts w:ascii="Calibri" w:hAnsi="Calibri"/>
                <w:color w:val="1F2937"/>
                <w:sz w:val="19"/>
              </w:rPr>
              <w:t>API tests passed.</w:t>
            </w:r>
          </w:p>
        </w:tc>
      </w:tr>
      <w:tr>
        <w:tc>
          <w:tcPr>
            <w:tcW w:type="dxa" w:w="1440"/>
          </w:tcPr>
          <w:p>
            <w:pPr>
              <w:pStyle w:val="TableText"/>
            </w:pPr>
            <w:r>
              <w:rPr>
                <w:rFonts w:ascii="Calibri" w:hAnsi="Calibri"/>
                <w:color w:val="1F2937"/>
                <w:sz w:val="19"/>
              </w:rPr>
              <w:t>3. Identity and documents</w:t>
            </w:r>
          </w:p>
        </w:tc>
        <w:tc>
          <w:tcPr>
            <w:tcW w:type="dxa" w:w="4920"/>
          </w:tcPr>
          <w:p>
            <w:pPr>
              <w:pStyle w:val="TableText"/>
            </w:pPr>
            <w:r>
              <w:rPr>
                <w:rFonts w:ascii="Calibri" w:hAnsi="Calibri"/>
                <w:color w:val="1F2937"/>
                <w:sz w:val="19"/>
              </w:rPr>
              <w:t>Synthetic identity behaviour, document content hashing, and MATCH/MISMATCH verification.</w:t>
            </w:r>
          </w:p>
        </w:tc>
        <w:tc>
          <w:tcPr>
            <w:tcW w:type="dxa" w:w="3000"/>
          </w:tcPr>
          <w:p>
            <w:pPr>
              <w:pStyle w:val="TableText"/>
            </w:pPr>
            <w:r>
              <w:rPr>
                <w:rFonts w:ascii="Calibri" w:hAnsi="Calibri"/>
                <w:color w:val="1F2937"/>
                <w:sz w:val="19"/>
              </w:rPr>
              <w:t>Identity and API tests passed.</w:t>
            </w:r>
          </w:p>
        </w:tc>
      </w:tr>
      <w:tr>
        <w:tc>
          <w:tcPr>
            <w:tcW w:type="dxa" w:w="1440"/>
          </w:tcPr>
          <w:p>
            <w:pPr>
              <w:pStyle w:val="TableText"/>
            </w:pPr>
            <w:r>
              <w:rPr>
                <w:rFonts w:ascii="Calibri" w:hAnsi="Calibri"/>
                <w:color w:val="1F2937"/>
                <w:sz w:val="19"/>
              </w:rPr>
              <w:t>4. Fabric research artifact</w:t>
            </w:r>
          </w:p>
        </w:tc>
        <w:tc>
          <w:tcPr>
            <w:tcW w:type="dxa" w:w="4920"/>
          </w:tcPr>
          <w:p>
            <w:pPr>
              <w:pStyle w:val="TableText"/>
            </w:pPr>
            <w:r>
              <w:rPr>
                <w:rFonts w:ascii="Calibri" w:hAnsi="Calibri"/>
                <w:color w:val="1F2937"/>
                <w:sz w:val="19"/>
              </w:rPr>
              <w:t>Go land-chaincode source with land-life-cycle checks and role-based operations.</w:t>
            </w:r>
          </w:p>
        </w:tc>
        <w:tc>
          <w:tcPr>
            <w:tcW w:type="dxa" w:w="3000"/>
          </w:tcPr>
          <w:p>
            <w:pPr>
              <w:pStyle w:val="TableText"/>
            </w:pPr>
            <w:r>
              <w:rPr>
                <w:rFonts w:ascii="Calibri" w:hAnsi="Calibri"/>
                <w:color w:val="1F2937"/>
                <w:sz w:val="19"/>
              </w:rPr>
              <w:t>Source added; network deployment is pending.</w:t>
            </w:r>
          </w:p>
        </w:tc>
      </w:tr>
      <w:tr>
        <w:tc>
          <w:tcPr>
            <w:tcW w:type="dxa" w:w="1440"/>
          </w:tcPr>
          <w:p>
            <w:pPr>
              <w:pStyle w:val="TableText"/>
            </w:pPr>
            <w:r>
              <w:rPr>
                <w:rFonts w:ascii="Calibri" w:hAnsi="Calibri"/>
                <w:color w:val="1F2937"/>
                <w:sz w:val="19"/>
              </w:rPr>
              <w:t>5. Offline/static delivery</w:t>
            </w:r>
          </w:p>
        </w:tc>
        <w:tc>
          <w:tcPr>
            <w:tcW w:type="dxa" w:w="4920"/>
          </w:tcPr>
          <w:p>
            <w:pPr>
              <w:pStyle w:val="TableText"/>
            </w:pPr>
            <w:r>
              <w:rPr>
                <w:rFonts w:ascii="Calibri" w:hAnsi="Calibri"/>
                <w:color w:val="1F2937"/>
                <w:sz w:val="19"/>
              </w:rPr>
              <w:t>Browser-local adapter, responsive dashboard, Netlify-ready static build with no environment variables.</w:t>
            </w:r>
          </w:p>
        </w:tc>
        <w:tc>
          <w:tcPr>
            <w:tcW w:type="dxa" w:w="3000"/>
          </w:tcPr>
          <w:p>
            <w:pPr>
              <w:pStyle w:val="TableText"/>
            </w:pPr>
            <w:r>
              <w:rPr>
                <w:rFonts w:ascii="Calibri" w:hAnsi="Calibri"/>
                <w:color w:val="1F2937"/>
                <w:sz w:val="19"/>
              </w:rPr>
              <w:t>Production web build passed.</w:t>
            </w:r>
          </w:p>
        </w:tc>
      </w:tr>
    </w:tbl>
    <w:p>
      <w:pPr>
        <w:spacing w:after="0"/>
      </w:pPr>
    </w:p>
    <w:p>
      <w:pPr>
        <w:pStyle w:val="Heading1"/>
      </w:pPr>
      <w:r>
        <w:t>2. Implemented architecture</w:t>
      </w:r>
    </w:p>
    <w:p>
      <w:r>
        <w:rPr>
          <w:rFonts w:ascii="Calibri" w:hAnsi="Calibri"/>
          <w:i w:val="0"/>
        </w:rPr>
        <w:t>The implemented system uses a React/Vite frontend as the primary user interface. In its default offline mode, an in-browser adapter performs the same visible land-management workflow using localStorage. An optional Express API and mock ledger are retained for local API-mode testing. The project also contains a synthetic identity gateway and a Go chaincode package intended for a later Hyperledger Fabric deployment.</w:t>
      </w:r>
    </w:p>
    <w:tbl>
      <w:tblPr>
        <w:tblStyle w:val="TableGrid"/>
        <w:tblW w:type="dxa" w:w="9360"/>
        <w:jc w:val="left"/>
        <w:tblLayout w:type="fixed"/>
        <w:tblLook w:firstColumn="1" w:firstRow="1" w:lastColumn="0" w:lastRow="0" w:noHBand="0" w:noVBand="1" w:val="04A0"/>
        <w:tblInd w:w="120" w:type="dxa"/>
      </w:tblPr>
      <w:tblGrid>
        <w:gridCol w:w="1980"/>
        <w:gridCol w:w="2520"/>
        <w:gridCol w:w="4860"/>
      </w:tblGrid>
      <w:tr>
        <w:trPr>
          <w:tblHeader w:val="true"/>
        </w:trPr>
        <w:tc>
          <w:tcPr>
            <w:tcW w:type="dxa" w:w="1980"/>
            <w:vAlign w:val="center"/>
            <w:tcMar>
              <w:top w:w="80" w:type="dxa"/>
              <w:bottom w:w="80" w:type="dxa"/>
              <w:start w:w="120" w:type="dxa"/>
              <w:end w:w="120" w:type="dxa"/>
            </w:tcMar>
            <w:shd w:fill="E8EEF5"/>
          </w:tcPr>
          <w:p>
            <w:pPr>
              <w:pStyle w:val="TableText"/>
            </w:pPr>
            <w:r>
              <w:rPr>
                <w:rFonts w:ascii="Calibri" w:hAnsi="Calibri"/>
                <w:b/>
                <w:color w:val="1F4D78"/>
                <w:sz w:val="19"/>
              </w:rPr>
              <w:t>Component</w:t>
            </w:r>
          </w:p>
        </w:tc>
        <w:tc>
          <w:tcPr>
            <w:tcW w:type="dxa" w:w="2520"/>
            <w:vAlign w:val="center"/>
            <w:tcMar>
              <w:top w:w="80" w:type="dxa"/>
              <w:bottom w:w="80" w:type="dxa"/>
              <w:start w:w="120" w:type="dxa"/>
              <w:end w:w="120" w:type="dxa"/>
            </w:tcMar>
            <w:shd w:fill="E8EEF5"/>
          </w:tcPr>
          <w:p>
            <w:pPr>
              <w:pStyle w:val="TableText"/>
            </w:pPr>
            <w:r>
              <w:rPr>
                <w:rFonts w:ascii="Calibri" w:hAnsi="Calibri"/>
                <w:b/>
                <w:color w:val="1F4D78"/>
                <w:sz w:val="19"/>
              </w:rPr>
              <w:t>Technology</w:t>
            </w:r>
          </w:p>
        </w:tc>
        <w:tc>
          <w:tcPr>
            <w:tcW w:type="dxa" w:w="4860"/>
            <w:vAlign w:val="center"/>
            <w:tcMar>
              <w:top w:w="80" w:type="dxa"/>
              <w:bottom w:w="80" w:type="dxa"/>
              <w:start w:w="120" w:type="dxa"/>
              <w:end w:w="120" w:type="dxa"/>
            </w:tcMar>
            <w:shd w:fill="E8EEF5"/>
          </w:tcPr>
          <w:p>
            <w:pPr>
              <w:pStyle w:val="TableText"/>
            </w:pPr>
            <w:r>
              <w:rPr>
                <w:rFonts w:ascii="Calibri" w:hAnsi="Calibri"/>
                <w:b/>
                <w:color w:val="1F4D78"/>
                <w:sz w:val="19"/>
              </w:rPr>
              <w:t>Role in the current implementation</w:t>
            </w:r>
          </w:p>
        </w:tc>
      </w:tr>
      <w:tr>
        <w:tc>
          <w:tcPr>
            <w:tcW w:type="dxa" w:w="1980"/>
          </w:tcPr>
          <w:p>
            <w:pPr>
              <w:pStyle w:val="TableText"/>
            </w:pPr>
            <w:r>
              <w:rPr>
                <w:rFonts w:ascii="Calibri" w:hAnsi="Calibri"/>
                <w:color w:val="1F2937"/>
                <w:sz w:val="19"/>
              </w:rPr>
              <w:t>Web dashboard</w:t>
            </w:r>
          </w:p>
        </w:tc>
        <w:tc>
          <w:tcPr>
            <w:tcW w:type="dxa" w:w="2520"/>
          </w:tcPr>
          <w:p>
            <w:pPr>
              <w:pStyle w:val="TableText"/>
            </w:pPr>
            <w:r>
              <w:rPr>
                <w:rFonts w:ascii="Calibri" w:hAnsi="Calibri"/>
                <w:color w:val="1F2937"/>
                <w:sz w:val="19"/>
              </w:rPr>
              <w:t>React, TypeScript, Vite, React Router, React Query</w:t>
            </w:r>
          </w:p>
        </w:tc>
        <w:tc>
          <w:tcPr>
            <w:tcW w:type="dxa" w:w="4860"/>
          </w:tcPr>
          <w:p>
            <w:pPr>
              <w:pStyle w:val="TableText"/>
            </w:pPr>
            <w:r>
              <w:rPr>
                <w:rFonts w:ascii="Calibri" w:hAnsi="Calibri"/>
                <w:color w:val="1F2937"/>
                <w:sz w:val="19"/>
              </w:rPr>
              <w:t>Responsive dashboard, role-aware navigation, forms, marketplace, history, and system status.</w:t>
            </w:r>
          </w:p>
        </w:tc>
      </w:tr>
      <w:tr>
        <w:tc>
          <w:tcPr>
            <w:tcW w:type="dxa" w:w="1980"/>
          </w:tcPr>
          <w:p>
            <w:pPr>
              <w:pStyle w:val="TableText"/>
            </w:pPr>
            <w:r>
              <w:rPr>
                <w:rFonts w:ascii="Calibri" w:hAnsi="Calibri"/>
                <w:color w:val="1F2937"/>
                <w:sz w:val="19"/>
              </w:rPr>
              <w:t>Offline data adapter</w:t>
            </w:r>
          </w:p>
        </w:tc>
        <w:tc>
          <w:tcPr>
            <w:tcW w:type="dxa" w:w="2520"/>
          </w:tcPr>
          <w:p>
            <w:pPr>
              <w:pStyle w:val="TableText"/>
            </w:pPr>
            <w:r>
              <w:rPr>
                <w:rFonts w:ascii="Calibri" w:hAnsi="Calibri"/>
                <w:color w:val="1F2937"/>
                <w:sz w:val="19"/>
              </w:rPr>
              <w:t>Browser APIs and localStorage</w:t>
            </w:r>
          </w:p>
        </w:tc>
        <w:tc>
          <w:tcPr>
            <w:tcW w:type="dxa" w:w="4860"/>
          </w:tcPr>
          <w:p>
            <w:pPr>
              <w:pStyle w:val="TableText"/>
            </w:pPr>
            <w:r>
              <w:rPr>
                <w:rFonts w:ascii="Calibri" w:hAnsi="Calibri"/>
                <w:color w:val="1F2937"/>
                <w:sz w:val="19"/>
              </w:rPr>
              <w:t>Default no-service workflow for authentication, parcels, transactions, audit events, and document hashes.</w:t>
            </w:r>
          </w:p>
        </w:tc>
      </w:tr>
      <w:tr>
        <w:tc>
          <w:tcPr>
            <w:tcW w:type="dxa" w:w="1980"/>
          </w:tcPr>
          <w:p>
            <w:pPr>
              <w:pStyle w:val="TableText"/>
            </w:pPr>
            <w:r>
              <w:rPr>
                <w:rFonts w:ascii="Calibri" w:hAnsi="Calibri"/>
                <w:color w:val="1F2937"/>
                <w:sz w:val="19"/>
              </w:rPr>
              <w:t>Optional API</w:t>
            </w:r>
          </w:p>
        </w:tc>
        <w:tc>
          <w:tcPr>
            <w:tcW w:type="dxa" w:w="2520"/>
          </w:tcPr>
          <w:p>
            <w:pPr>
              <w:pStyle w:val="TableText"/>
            </w:pPr>
            <w:r>
              <w:rPr>
                <w:rFonts w:ascii="Calibri" w:hAnsi="Calibri"/>
                <w:color w:val="1F2937"/>
                <w:sz w:val="19"/>
              </w:rPr>
              <w:t>Node.js, Express, TypeScript, Zod, JWT, bcrypt</w:t>
            </w:r>
          </w:p>
        </w:tc>
        <w:tc>
          <w:tcPr>
            <w:tcW w:type="dxa" w:w="4860"/>
          </w:tcPr>
          <w:p>
            <w:pPr>
              <w:pStyle w:val="TableText"/>
            </w:pPr>
            <w:r>
              <w:rPr>
                <w:rFonts w:ascii="Calibri" w:hAnsi="Calibri"/>
                <w:color w:val="1F2937"/>
                <w:sz w:val="19"/>
              </w:rPr>
              <w:t>Local API-mode validation, role checks, health endpoints, and mock-ledger access.</w:t>
            </w:r>
          </w:p>
        </w:tc>
      </w:tr>
      <w:tr>
        <w:tc>
          <w:tcPr>
            <w:tcW w:type="dxa" w:w="1980"/>
          </w:tcPr>
          <w:p>
            <w:pPr>
              <w:pStyle w:val="TableText"/>
            </w:pPr>
            <w:r>
              <w:rPr>
                <w:rFonts w:ascii="Calibri" w:hAnsi="Calibri"/>
                <w:color w:val="1F2937"/>
                <w:sz w:val="19"/>
              </w:rPr>
              <w:t>Identity gateway</w:t>
            </w:r>
          </w:p>
        </w:tc>
        <w:tc>
          <w:tcPr>
            <w:tcW w:type="dxa" w:w="2520"/>
          </w:tcPr>
          <w:p>
            <w:pPr>
              <w:pStyle w:val="TableText"/>
            </w:pPr>
            <w:r>
              <w:rPr>
                <w:rFonts w:ascii="Calibri" w:hAnsi="Calibri"/>
                <w:color w:val="1F2937"/>
                <w:sz w:val="19"/>
              </w:rPr>
              <w:t>Node.js/Express</w:t>
            </w:r>
          </w:p>
        </w:tc>
        <w:tc>
          <w:tcPr>
            <w:tcW w:type="dxa" w:w="4860"/>
          </w:tcPr>
          <w:p>
            <w:pPr>
              <w:pStyle w:val="TableText"/>
            </w:pPr>
            <w:r>
              <w:rPr>
                <w:rFonts w:ascii="Calibri" w:hAnsi="Calibri"/>
                <w:color w:val="1F2937"/>
                <w:sz w:val="19"/>
              </w:rPr>
              <w:t>Synthetic NIN verification with masked logging; no live government identity connection.</w:t>
            </w:r>
          </w:p>
        </w:tc>
      </w:tr>
      <w:tr>
        <w:tc>
          <w:tcPr>
            <w:tcW w:type="dxa" w:w="1980"/>
          </w:tcPr>
          <w:p>
            <w:pPr>
              <w:pStyle w:val="TableText"/>
            </w:pPr>
            <w:r>
              <w:rPr>
                <w:rFonts w:ascii="Calibri" w:hAnsi="Calibri"/>
                <w:color w:val="1F2937"/>
                <w:sz w:val="19"/>
              </w:rPr>
              <w:t>Document integrity</w:t>
            </w:r>
          </w:p>
        </w:tc>
        <w:tc>
          <w:tcPr>
            <w:tcW w:type="dxa" w:w="2520"/>
          </w:tcPr>
          <w:p>
            <w:pPr>
              <w:pStyle w:val="TableText"/>
            </w:pPr>
            <w:r>
              <w:rPr>
                <w:rFonts w:ascii="Calibri" w:hAnsi="Calibri"/>
                <w:color w:val="1F2937"/>
                <w:sz w:val="19"/>
              </w:rPr>
              <w:t>SHA-256 browser digest and content identifier</w:t>
            </w:r>
          </w:p>
        </w:tc>
        <w:tc>
          <w:tcPr>
            <w:tcW w:type="dxa" w:w="4860"/>
          </w:tcPr>
          <w:p>
            <w:pPr>
              <w:pStyle w:val="TableText"/>
            </w:pPr>
            <w:r>
              <w:rPr>
                <w:rFonts w:ascii="Calibri" w:hAnsi="Calibri"/>
                <w:color w:val="1F2937"/>
                <w:sz w:val="19"/>
              </w:rPr>
              <w:t>Detects whether a candidate PDF, PNG, or JPEG matches the recorded file content.</w:t>
            </w:r>
          </w:p>
        </w:tc>
      </w:tr>
      <w:tr>
        <w:tc>
          <w:tcPr>
            <w:tcW w:type="dxa" w:w="1980"/>
          </w:tcPr>
          <w:p>
            <w:pPr>
              <w:pStyle w:val="TableText"/>
            </w:pPr>
            <w:r>
              <w:rPr>
                <w:rFonts w:ascii="Calibri" w:hAnsi="Calibri"/>
                <w:color w:val="1F2937"/>
                <w:sz w:val="19"/>
              </w:rPr>
              <w:t>Fabric artifact</w:t>
            </w:r>
          </w:p>
        </w:tc>
        <w:tc>
          <w:tcPr>
            <w:tcW w:type="dxa" w:w="2520"/>
          </w:tcPr>
          <w:p>
            <w:pPr>
              <w:pStyle w:val="TableText"/>
            </w:pPr>
            <w:r>
              <w:rPr>
                <w:rFonts w:ascii="Calibri" w:hAnsi="Calibri"/>
                <w:color w:val="1F2937"/>
                <w:sz w:val="19"/>
              </w:rPr>
              <w:t>Go chaincode / Hyperledger Fabric contract APIs</w:t>
            </w:r>
          </w:p>
        </w:tc>
        <w:tc>
          <w:tcPr>
            <w:tcW w:type="dxa" w:w="4860"/>
          </w:tcPr>
          <w:p>
            <w:pPr>
              <w:pStyle w:val="TableText"/>
            </w:pPr>
            <w:r>
              <w:rPr>
                <w:rFonts w:ascii="Calibri" w:hAnsi="Calibri"/>
                <w:color w:val="1F2937"/>
                <w:sz w:val="19"/>
              </w:rPr>
              <w:t>Research-track contract for access control, duplicate checks, listing, transfer, levy, history, and events; not deployed.</w:t>
            </w:r>
          </w:p>
        </w:tc>
      </w:tr>
      <w:tr>
        <w:tc>
          <w:tcPr>
            <w:tcW w:type="dxa" w:w="1980"/>
          </w:tcPr>
          <w:p>
            <w:pPr>
              <w:pStyle w:val="TableText"/>
            </w:pPr>
            <w:r>
              <w:rPr>
                <w:rFonts w:ascii="Calibri" w:hAnsi="Calibri"/>
                <w:color w:val="1F2937"/>
                <w:sz w:val="19"/>
              </w:rPr>
              <w:t>Static deployment</w:t>
            </w:r>
          </w:p>
        </w:tc>
        <w:tc>
          <w:tcPr>
            <w:tcW w:type="dxa" w:w="2520"/>
          </w:tcPr>
          <w:p>
            <w:pPr>
              <w:pStyle w:val="TableText"/>
            </w:pPr>
            <w:r>
              <w:rPr>
                <w:rFonts w:ascii="Calibri" w:hAnsi="Calibri"/>
                <w:color w:val="1F2937"/>
                <w:sz w:val="19"/>
              </w:rPr>
              <w:t>Netlify</w:t>
            </w:r>
          </w:p>
        </w:tc>
        <w:tc>
          <w:tcPr>
            <w:tcW w:type="dxa" w:w="4860"/>
          </w:tcPr>
          <w:p>
            <w:pPr>
              <w:pStyle w:val="TableText"/>
            </w:pPr>
            <w:r>
              <w:rPr>
                <w:rFonts w:ascii="Calibri" w:hAnsi="Calibri"/>
                <w:color w:val="1F2937"/>
                <w:sz w:val="19"/>
              </w:rPr>
              <w:t>Hosts the browser-local frontend without environment variables or external backend services.</w:t>
            </w:r>
          </w:p>
        </w:tc>
      </w:tr>
    </w:tbl>
    <w:p>
      <w:pPr>
        <w:spacing w:after="0"/>
      </w:pPr>
    </w:p>
    <w:p>
      <w:pPr>
        <w:pStyle w:val="Heading1"/>
      </w:pPr>
      <w:r>
        <w:t>3. Functional results</w:t>
      </w:r>
    </w:p>
    <w:p>
      <w:pPr>
        <w:pStyle w:val="Heading2"/>
      </w:pPr>
      <w:r>
        <w:t>3.1 Authentication and role-aware access</w:t>
      </w:r>
    </w:p>
    <w:p>
      <w:r>
        <w:rPr>
          <w:rFonts w:ascii="Calibri" w:hAnsi="Calibri"/>
          <w:i w:val="0"/>
        </w:rPr>
        <w:t>The prototype provides synthetic development accounts for citizen, government-officer, and administrator roles. The interface adapts available actions by role, while the optional API tests validate access restrictions for protected actions. These accounts are expressly for local demonstration; they are not real users or government identities.</w:t>
      </w:r>
    </w:p>
    <w:p>
      <w:pPr>
        <w:pStyle w:val="Heading2"/>
      </w:pPr>
      <w:r>
        <w:t>3.2 Land lifecycle</w:t>
      </w:r>
    </w:p>
    <w:p>
      <w:r>
        <w:rPr>
          <w:rFonts w:ascii="Calibri" w:hAnsi="Calibri"/>
          <w:i w:val="0"/>
        </w:rPr>
        <w:t>A citizen can register a parcel with a parcel number, title number, location, size, and assessed value. Duplicate parcel or title values are rejected. The current owner can list or cancel a listing; another citizen can complete a simulated purchase. The transaction history and audit log record the workflow. The purchase result is clearly labelled simulated and moves no real funds.</w:t>
      </w:r>
    </w:p>
    <w:p>
      <w:pPr>
        <w:pStyle w:val="Heading2"/>
      </w:pPr>
      <w:r>
        <w:t>3.3 Document verification</w:t>
      </w:r>
    </w:p>
    <w:p>
      <w:r>
        <w:rPr>
          <w:rFonts w:ascii="Calibri" w:hAnsi="Calibri"/>
          <w:i w:val="0"/>
        </w:rPr>
        <w:t>The local workflow accepts PDF, PNG, and JPEG files up to 5 MB after basic content-signature checks. It calculates a SHA-256-based content identifier and stores document content locally. Re-uploading the identical file returns MATCH; altered content returns MISMATCH. The mechanism demonstrates content integrity; it does not constitute a production document vault or legal evidence service.</w:t>
      </w:r>
    </w:p>
    <w:p>
      <w:pPr>
        <w:pStyle w:val="Heading2"/>
      </w:pPr>
      <w:r>
        <w:t>3.4 Government tools and auditability</w:t>
      </w:r>
    </w:p>
    <w:p>
      <w:r>
        <w:rPr>
          <w:rFonts w:ascii="Calibri" w:hAnsi="Calibri"/>
          <w:i w:val="0"/>
        </w:rPr>
        <w:t>Government and administrator roles can update levies and access revenue summary data. The audit view records successful activity including actor, organisation, time, action, property reference, and detail. In offline mode these records reside in the browser and are therefore a demonstration of the workflow, not an independent tamper-resistant ledger.</w:t>
      </w:r>
    </w:p>
    <w:p>
      <w:pPr>
        <w:pStyle w:val="Heading2"/>
      </w:pPr>
      <w:r>
        <w:t>3.5 Usability and deployment</w:t>
      </w:r>
    </w:p>
    <w:p>
      <w:r>
        <w:rPr>
          <w:rFonts w:ascii="Calibri" w:hAnsi="Calibri"/>
          <w:i w:val="0"/>
        </w:rPr>
        <w:t>The dashboard was redesigned as a responsive, dark registry console. On smaller screens the sidebar becomes a slide-in menu with an overlay, close action, and Escape-key support. The application is available as a Netlify static deployment and can be run locally using Node.js and npm alone.</w:t>
      </w:r>
    </w:p>
    <w:p>
      <w:pPr>
        <w:pStyle w:val="Heading1"/>
      </w:pPr>
      <w:r>
        <w:t>4. Verification evidence</w:t>
      </w:r>
    </w:p>
    <w:p>
      <w:r>
        <w:rPr>
          <w:rFonts w:ascii="Calibri" w:hAnsi="Calibri"/>
          <w:i w:val="0"/>
        </w:rPr>
        <w:t>The following checks were run in the project workspace on 18 July 2026. The combined workspace test command was avoided in the final evidence table because empty Node test workspaces can remain open in this environment; the two test-bearing workspaces were executed directly.</w:t>
      </w:r>
    </w:p>
    <w:tbl>
      <w:tblPr>
        <w:tblStyle w:val="TableGrid"/>
        <w:tblW w:type="dxa" w:w="9360"/>
        <w:jc w:val="left"/>
        <w:tblLayout w:type="fixed"/>
        <w:tblLook w:firstColumn="1" w:firstRow="1" w:lastColumn="0" w:lastRow="0" w:noHBand="0" w:noVBand="1" w:val="04A0"/>
        <w:tblInd w:w="120" w:type="dxa"/>
      </w:tblPr>
      <w:tblGrid>
        <w:gridCol w:w="2340"/>
        <w:gridCol w:w="3510"/>
        <w:gridCol w:w="3510"/>
      </w:tblGrid>
      <w:tr>
        <w:trPr>
          <w:tblHeader w:val="true"/>
        </w:trPr>
        <w:tc>
          <w:tcPr>
            <w:tcW w:type="dxa" w:w="2340"/>
            <w:vAlign w:val="center"/>
            <w:tcMar>
              <w:top w:w="80" w:type="dxa"/>
              <w:bottom w:w="80" w:type="dxa"/>
              <w:start w:w="120" w:type="dxa"/>
              <w:end w:w="120" w:type="dxa"/>
            </w:tcMar>
            <w:shd w:fill="E8EEF5"/>
          </w:tcPr>
          <w:p>
            <w:pPr>
              <w:pStyle w:val="TableText"/>
            </w:pPr>
            <w:r>
              <w:rPr>
                <w:rFonts w:ascii="Calibri" w:hAnsi="Calibri"/>
                <w:b/>
                <w:color w:val="1F4D78"/>
                <w:sz w:val="19"/>
              </w:rPr>
              <w:t>Check</w:t>
            </w:r>
          </w:p>
        </w:tc>
        <w:tc>
          <w:tcPr>
            <w:tcW w:type="dxa" w:w="3510"/>
            <w:vAlign w:val="center"/>
            <w:tcMar>
              <w:top w:w="80" w:type="dxa"/>
              <w:bottom w:w="80" w:type="dxa"/>
              <w:start w:w="120" w:type="dxa"/>
              <w:end w:w="120" w:type="dxa"/>
            </w:tcMar>
            <w:shd w:fill="E8EEF5"/>
          </w:tcPr>
          <w:p>
            <w:pPr>
              <w:pStyle w:val="TableText"/>
            </w:pPr>
            <w:r>
              <w:rPr>
                <w:rFonts w:ascii="Calibri" w:hAnsi="Calibri"/>
                <w:b/>
                <w:color w:val="1F4D78"/>
                <w:sz w:val="19"/>
              </w:rPr>
              <w:t>Observed result</w:t>
            </w:r>
          </w:p>
        </w:tc>
        <w:tc>
          <w:tcPr>
            <w:tcW w:type="dxa" w:w="3510"/>
            <w:vAlign w:val="center"/>
            <w:tcMar>
              <w:top w:w="80" w:type="dxa"/>
              <w:bottom w:w="80" w:type="dxa"/>
              <w:start w:w="120" w:type="dxa"/>
              <w:end w:w="120" w:type="dxa"/>
            </w:tcMar>
            <w:shd w:fill="E8EEF5"/>
          </w:tcPr>
          <w:p>
            <w:pPr>
              <w:pStyle w:val="TableText"/>
            </w:pPr>
            <w:r>
              <w:rPr>
                <w:rFonts w:ascii="Calibri" w:hAnsi="Calibri"/>
                <w:b/>
                <w:color w:val="1F4D78"/>
                <w:sz w:val="19"/>
              </w:rPr>
              <w:t>Meaning</w:t>
            </w:r>
          </w:p>
        </w:tc>
      </w:tr>
      <w:tr>
        <w:tc>
          <w:tcPr>
            <w:tcW w:type="dxa" w:w="2340"/>
          </w:tcPr>
          <w:p>
            <w:pPr>
              <w:pStyle w:val="TableText"/>
            </w:pPr>
            <w:r>
              <w:rPr>
                <w:rFonts w:ascii="Calibri" w:hAnsi="Calibri"/>
                <w:color w:val="1F2937"/>
                <w:sz w:val="19"/>
              </w:rPr>
              <w:t>npm run typecheck</w:t>
            </w:r>
          </w:p>
        </w:tc>
        <w:tc>
          <w:tcPr>
            <w:tcW w:type="dxa" w:w="3510"/>
          </w:tcPr>
          <w:p>
            <w:pPr>
              <w:pStyle w:val="TableText"/>
            </w:pPr>
            <w:r>
              <w:rPr>
                <w:rFonts w:ascii="Calibri" w:hAnsi="Calibri"/>
                <w:color w:val="1F2937"/>
                <w:sz w:val="19"/>
              </w:rPr>
              <w:t>Passed for shared package, API, identity gateway, and web workspace.</w:t>
            </w:r>
          </w:p>
        </w:tc>
        <w:tc>
          <w:tcPr>
            <w:tcW w:type="dxa" w:w="3510"/>
          </w:tcPr>
          <w:p>
            <w:pPr>
              <w:pStyle w:val="TableText"/>
            </w:pPr>
            <w:r>
              <w:rPr>
                <w:rFonts w:ascii="Calibri" w:hAnsi="Calibri"/>
                <w:color w:val="1F2937"/>
                <w:sz w:val="19"/>
              </w:rPr>
              <w:t>TypeScript interfaces and implementation compile without type errors.</w:t>
            </w:r>
          </w:p>
        </w:tc>
      </w:tr>
      <w:tr>
        <w:tc>
          <w:tcPr>
            <w:tcW w:type="dxa" w:w="2340"/>
          </w:tcPr>
          <w:p>
            <w:pPr>
              <w:pStyle w:val="TableText"/>
            </w:pPr>
            <w:r>
              <w:rPr>
                <w:rFonts w:ascii="Calibri" w:hAnsi="Calibri"/>
                <w:color w:val="1F2937"/>
                <w:sz w:val="19"/>
              </w:rPr>
              <w:t>API tests</w:t>
            </w:r>
          </w:p>
        </w:tc>
        <w:tc>
          <w:tcPr>
            <w:tcW w:type="dxa" w:w="3510"/>
          </w:tcPr>
          <w:p>
            <w:pPr>
              <w:pStyle w:val="TableText"/>
            </w:pPr>
            <w:r>
              <w:rPr>
                <w:rFonts w:ascii="Calibri" w:hAnsi="Calibri"/>
                <w:color w:val="1F2937"/>
                <w:sz w:val="19"/>
              </w:rPr>
              <w:t>5 passed, 0 failed.</w:t>
            </w:r>
          </w:p>
        </w:tc>
        <w:tc>
          <w:tcPr>
            <w:tcW w:type="dxa" w:w="3510"/>
          </w:tcPr>
          <w:p>
            <w:pPr>
              <w:pStyle w:val="TableText"/>
            </w:pPr>
            <w:r>
              <w:rPr>
                <w:rFonts w:ascii="Calibri" w:hAnsi="Calibri"/>
                <w:color w:val="1F2937"/>
                <w:sz w:val="19"/>
              </w:rPr>
              <w:t>Health mode, login/land query, purchase/fee simulation, government restriction, and document verification were exercised.</w:t>
            </w:r>
          </w:p>
        </w:tc>
      </w:tr>
      <w:tr>
        <w:tc>
          <w:tcPr>
            <w:tcW w:type="dxa" w:w="2340"/>
          </w:tcPr>
          <w:p>
            <w:pPr>
              <w:pStyle w:val="TableText"/>
            </w:pPr>
            <w:r>
              <w:rPr>
                <w:rFonts w:ascii="Calibri" w:hAnsi="Calibri"/>
                <w:color w:val="1F2937"/>
                <w:sz w:val="19"/>
              </w:rPr>
              <w:t>Identity-gateway tests</w:t>
            </w:r>
          </w:p>
        </w:tc>
        <w:tc>
          <w:tcPr>
            <w:tcW w:type="dxa" w:w="3510"/>
          </w:tcPr>
          <w:p>
            <w:pPr>
              <w:pStyle w:val="TableText"/>
            </w:pPr>
            <w:r>
              <w:rPr>
                <w:rFonts w:ascii="Calibri" w:hAnsi="Calibri"/>
                <w:color w:val="1F2937"/>
                <w:sz w:val="19"/>
              </w:rPr>
              <w:t>3 passed, 0 failed.</w:t>
            </w:r>
          </w:p>
        </w:tc>
        <w:tc>
          <w:tcPr>
            <w:tcW w:type="dxa" w:w="3510"/>
          </w:tcPr>
          <w:p>
            <w:pPr>
              <w:pStyle w:val="TableText"/>
            </w:pPr>
            <w:r>
              <w:rPr>
                <w:rFonts w:ascii="Calibri" w:hAnsi="Calibri"/>
                <w:color w:val="1F2937"/>
                <w:sz w:val="19"/>
              </w:rPr>
              <w:t>Synthetic-record health, masked synthetic verification, and status-key restriction were exercised.</w:t>
            </w:r>
          </w:p>
        </w:tc>
      </w:tr>
      <w:tr>
        <w:tc>
          <w:tcPr>
            <w:tcW w:type="dxa" w:w="2340"/>
          </w:tcPr>
          <w:p>
            <w:pPr>
              <w:pStyle w:val="TableText"/>
            </w:pPr>
            <w:r>
              <w:rPr>
                <w:rFonts w:ascii="Calibri" w:hAnsi="Calibri"/>
                <w:color w:val="1F2937"/>
                <w:sz w:val="19"/>
              </w:rPr>
              <w:t>Production web build</w:t>
            </w:r>
          </w:p>
        </w:tc>
        <w:tc>
          <w:tcPr>
            <w:tcW w:type="dxa" w:w="3510"/>
          </w:tcPr>
          <w:p>
            <w:pPr>
              <w:pStyle w:val="TableText"/>
            </w:pPr>
            <w:r>
              <w:rPr>
                <w:rFonts w:ascii="Calibri" w:hAnsi="Calibri"/>
                <w:color w:val="1F2937"/>
                <w:sz w:val="19"/>
              </w:rPr>
              <w:t>Passed: Vite transformed 92 modules and produced the static build.</w:t>
            </w:r>
          </w:p>
        </w:tc>
        <w:tc>
          <w:tcPr>
            <w:tcW w:type="dxa" w:w="3510"/>
          </w:tcPr>
          <w:p>
            <w:pPr>
              <w:pStyle w:val="TableText"/>
            </w:pPr>
            <w:r>
              <w:rPr>
                <w:rFonts w:ascii="Calibri" w:hAnsi="Calibri"/>
                <w:color w:val="1F2937"/>
                <w:sz w:val="19"/>
              </w:rPr>
              <w:t>The frontend can be packaged for static hosting.</w:t>
            </w:r>
          </w:p>
        </w:tc>
      </w:tr>
      <w:tr>
        <w:tc>
          <w:tcPr>
            <w:tcW w:type="dxa" w:w="2340"/>
          </w:tcPr>
          <w:p>
            <w:pPr>
              <w:pStyle w:val="TableText"/>
            </w:pPr>
            <w:r>
              <w:rPr>
                <w:rFonts w:ascii="Calibri" w:hAnsi="Calibri"/>
                <w:color w:val="1F2937"/>
                <w:sz w:val="19"/>
              </w:rPr>
              <w:t>Manual browser check</w:t>
            </w:r>
          </w:p>
        </w:tc>
        <w:tc>
          <w:tcPr>
            <w:tcW w:type="dxa" w:w="3510"/>
          </w:tcPr>
          <w:p>
            <w:pPr>
              <w:pStyle w:val="TableText"/>
            </w:pPr>
            <w:r>
              <w:rPr>
                <w:rFonts w:ascii="Calibri" w:hAnsi="Calibri"/>
                <w:color w:val="1F2937"/>
                <w:sz w:val="19"/>
              </w:rPr>
              <w:t>Responsive sidebar opened, navigated, and closed as expected in the local browser check.</w:t>
            </w:r>
          </w:p>
        </w:tc>
        <w:tc>
          <w:tcPr>
            <w:tcW w:type="dxa" w:w="3510"/>
          </w:tcPr>
          <w:p>
            <w:pPr>
              <w:pStyle w:val="TableText"/>
            </w:pPr>
            <w:r>
              <w:rPr>
                <w:rFonts w:ascii="Calibri" w:hAnsi="Calibri"/>
                <w:color w:val="1F2937"/>
                <w:sz w:val="19"/>
              </w:rPr>
              <w:t>The mobile navigation behaviour was manually verified.</w:t>
            </w:r>
          </w:p>
        </w:tc>
      </w:tr>
    </w:tbl>
    <w:p>
      <w:pPr>
        <w:spacing w:after="0"/>
      </w:pPr>
    </w:p>
    <w:p>
      <w:pPr>
        <w:pStyle w:val="Heading1"/>
      </w:pPr>
      <w:r>
        <w:t>5. Local run and deployment result</w:t>
      </w:r>
    </w:p>
    <w:p>
      <w:r>
        <w:rPr>
          <w:rFonts w:ascii="Calibri" w:hAnsi="Calibri"/>
          <w:i w:val="0"/>
        </w:rPr>
        <w:t>For a local demonstration, install dependencies and run the offline command below. The application opens at http://localhost:5173 and stores its state in the browser only.</w:t>
      </w:r>
    </w:p>
    <w:p>
      <w:pPr>
        <w:spacing w:before="40" w:after="200"/>
        <w:ind w:left="360"/>
      </w:pPr>
      <w:r>
        <w:rPr>
          <w:rFonts w:ascii="Calibri" w:hAnsi="Calibri"/>
          <w:color w:val="1F4D78"/>
          <w:sz w:val="21"/>
        </w:rPr>
        <w:t>npm install</w:t>
        <w:br/>
        <w:t>npm run dev:offline</w:t>
      </w:r>
    </w:p>
    <w:p>
      <w:r>
        <w:rPr>
          <w:rFonts w:ascii="Calibri" w:hAnsi="Calibri"/>
          <w:i w:val="0"/>
        </w:rPr>
        <w:t>The static deployment is available at https://blms-local-registry.netlify.app. It works without environment variables because the build defaults to the browser-local adapter when no API URL is supplied. It is suitable for prototype review and user-interface testing, not for operational land administration.</w:t>
      </w:r>
    </w:p>
    <w:p>
      <w:pPr>
        <w:pStyle w:val="Heading1"/>
      </w:pPr>
      <w:r>
        <w:t>6. Hyperledger Fabric contribution and boundary</w:t>
      </w:r>
    </w:p>
    <w:p>
      <w:r>
        <w:rPr>
          <w:rFonts w:ascii="Calibri" w:hAnsi="Calibri"/>
          <w:i w:val="0"/>
        </w:rPr>
        <w:t>Hyperledger Fabric remains the principal blockchain requirement of the research project. The repository now contains Go chaincode that represents the intended ledger rules: certificate/attribute-based identity checks, duplicate parcel and title checks, owner-only listings, government-only levy updates, purchase rules, simulated fee allocation, document-CID comparison, history retrieval, and a LandTransferred event. This contributes a concrete blockchain-domain artifact rather than only a conceptual diagram.</w:t>
      </w:r>
    </w:p>
    <w:p>
      <w:r>
        <w:rPr>
          <w:rFonts w:ascii="Calibri" w:hAnsi="Calibri"/>
          <w:i w:val="0"/>
        </w:rPr>
        <w:t>However, adding the chaincode does not mean that the web application is currently using a Fabric ledger. The default application deliberately stays independent so it can work without Docker or any external service. A real Fabric result requires a two-organisation network, certificates, channel policies, peer/orderer configuration, chaincode packaging and deployment, and a Gateway adapter that replaces the local/mock ledger behind the same application contract.</w:t>
      </w:r>
    </w:p>
    <w:p>
      <w:pPr>
        <w:pStyle w:val="Heading1"/>
      </w:pPr>
      <w:r>
        <w:t>7. Limitations and next implementation phase</w:t>
      </w:r>
    </w:p>
    <w:tbl>
      <w:tblPr>
        <w:tblStyle w:val="TableGrid"/>
        <w:tblW w:type="dxa" w:w="9360"/>
        <w:jc w:val="left"/>
        <w:tblLayout w:type="fixed"/>
        <w:tblLook w:firstColumn="1" w:firstRow="1" w:lastColumn="0" w:lastRow="0" w:noHBand="0" w:noVBand="1" w:val="04A0"/>
        <w:tblInd w:w="120" w:type="dxa"/>
      </w:tblPr>
      <w:tblGrid>
        <w:gridCol w:w="2700"/>
        <w:gridCol w:w="3330"/>
        <w:gridCol w:w="3330"/>
      </w:tblGrid>
      <w:tr>
        <w:trPr>
          <w:tblHeader w:val="true"/>
        </w:trPr>
        <w:tc>
          <w:tcPr>
            <w:tcW w:type="dxa" w:w="2700"/>
            <w:vAlign w:val="center"/>
            <w:tcMar>
              <w:top w:w="80" w:type="dxa"/>
              <w:bottom w:w="80" w:type="dxa"/>
              <w:start w:w="120" w:type="dxa"/>
              <w:end w:w="120" w:type="dxa"/>
            </w:tcMar>
            <w:shd w:fill="E8EEF5"/>
          </w:tcPr>
          <w:p>
            <w:pPr>
              <w:pStyle w:val="TableText"/>
            </w:pPr>
            <w:r>
              <w:rPr>
                <w:rFonts w:ascii="Calibri" w:hAnsi="Calibri"/>
                <w:b/>
                <w:color w:val="1F4D78"/>
                <w:sz w:val="19"/>
              </w:rPr>
              <w:t>Not yet implemented</w:t>
            </w:r>
          </w:p>
        </w:tc>
        <w:tc>
          <w:tcPr>
            <w:tcW w:type="dxa" w:w="3330"/>
            <w:vAlign w:val="center"/>
            <w:tcMar>
              <w:top w:w="80" w:type="dxa"/>
              <w:bottom w:w="80" w:type="dxa"/>
              <w:start w:w="120" w:type="dxa"/>
              <w:end w:w="120" w:type="dxa"/>
            </w:tcMar>
            <w:shd w:fill="E8EEF5"/>
          </w:tcPr>
          <w:p>
            <w:pPr>
              <w:pStyle w:val="TableText"/>
            </w:pPr>
            <w:r>
              <w:rPr>
                <w:rFonts w:ascii="Calibri" w:hAnsi="Calibri"/>
                <w:b/>
                <w:color w:val="1F4D78"/>
                <w:sz w:val="19"/>
              </w:rPr>
              <w:t>Why it matters</w:t>
            </w:r>
          </w:p>
        </w:tc>
        <w:tc>
          <w:tcPr>
            <w:tcW w:type="dxa" w:w="3330"/>
            <w:vAlign w:val="center"/>
            <w:tcMar>
              <w:top w:w="80" w:type="dxa"/>
              <w:bottom w:w="80" w:type="dxa"/>
              <w:start w:w="120" w:type="dxa"/>
              <w:end w:w="120" w:type="dxa"/>
            </w:tcMar>
            <w:shd w:fill="E8EEF5"/>
          </w:tcPr>
          <w:p>
            <w:pPr>
              <w:pStyle w:val="TableText"/>
            </w:pPr>
            <w:r>
              <w:rPr>
                <w:rFonts w:ascii="Calibri" w:hAnsi="Calibri"/>
                <w:b/>
                <w:color w:val="1F4D78"/>
                <w:sz w:val="19"/>
              </w:rPr>
              <w:t>Required next step</w:t>
            </w:r>
          </w:p>
        </w:tc>
      </w:tr>
      <w:tr>
        <w:tc>
          <w:tcPr>
            <w:tcW w:type="dxa" w:w="2700"/>
          </w:tcPr>
          <w:p>
            <w:pPr>
              <w:pStyle w:val="TableText"/>
            </w:pPr>
            <w:r>
              <w:rPr>
                <w:rFonts w:ascii="Calibri" w:hAnsi="Calibri"/>
                <w:color w:val="1F2937"/>
                <w:sz w:val="19"/>
              </w:rPr>
              <w:t>Live Fabric network and Gateway adapter</w:t>
            </w:r>
          </w:p>
        </w:tc>
        <w:tc>
          <w:tcPr>
            <w:tcW w:type="dxa" w:w="3330"/>
          </w:tcPr>
          <w:p>
            <w:pPr>
              <w:pStyle w:val="TableText"/>
            </w:pPr>
            <w:r>
              <w:rPr>
                <w:rFonts w:ascii="Calibri" w:hAnsi="Calibri"/>
                <w:color w:val="1F2937"/>
                <w:sz w:val="19"/>
              </w:rPr>
              <w:t>Needed to demonstrate distributed endorsement, peer state, and real Fabric transaction submission.</w:t>
            </w:r>
          </w:p>
        </w:tc>
        <w:tc>
          <w:tcPr>
            <w:tcW w:type="dxa" w:w="3330"/>
          </w:tcPr>
          <w:p>
            <w:pPr>
              <w:pStyle w:val="TableText"/>
            </w:pPr>
            <w:r>
              <w:rPr>
                <w:rFonts w:ascii="Calibri" w:hAnsi="Calibri"/>
                <w:color w:val="1F2937"/>
                <w:sz w:val="19"/>
              </w:rPr>
              <w:t>Deploy the two-organisation network locally, package Go chaincode, and implement FabricLedgerService.</w:t>
            </w:r>
          </w:p>
        </w:tc>
      </w:tr>
      <w:tr>
        <w:tc>
          <w:tcPr>
            <w:tcW w:type="dxa" w:w="2700"/>
          </w:tcPr>
          <w:p>
            <w:pPr>
              <w:pStyle w:val="TableText"/>
            </w:pPr>
            <w:r>
              <w:rPr>
                <w:rFonts w:ascii="Calibri" w:hAnsi="Calibri"/>
                <w:color w:val="1F2937"/>
                <w:sz w:val="19"/>
              </w:rPr>
              <w:t>Live IPFS/Kubo service</w:t>
            </w:r>
          </w:p>
        </w:tc>
        <w:tc>
          <w:tcPr>
            <w:tcW w:type="dxa" w:w="3330"/>
          </w:tcPr>
          <w:p>
            <w:pPr>
              <w:pStyle w:val="TableText"/>
            </w:pPr>
            <w:r>
              <w:rPr>
                <w:rFonts w:ascii="Calibri" w:hAnsi="Calibri"/>
                <w:color w:val="1F2937"/>
                <w:sz w:val="19"/>
              </w:rPr>
              <w:t>Needed for networked document retrieval and pinning beyond browser storage.</w:t>
            </w:r>
          </w:p>
        </w:tc>
        <w:tc>
          <w:tcPr>
            <w:tcW w:type="dxa" w:w="3330"/>
          </w:tcPr>
          <w:p>
            <w:pPr>
              <w:pStyle w:val="TableText"/>
            </w:pPr>
            <w:r>
              <w:rPr>
                <w:rFonts w:ascii="Calibri" w:hAnsi="Calibri"/>
                <w:color w:val="1F2937"/>
                <w:sz w:val="19"/>
              </w:rPr>
              <w:t>Run a local Kubo node and test upload/retrieval policy.</w:t>
            </w:r>
          </w:p>
        </w:tc>
      </w:tr>
      <w:tr>
        <w:tc>
          <w:tcPr>
            <w:tcW w:type="dxa" w:w="2700"/>
          </w:tcPr>
          <w:p>
            <w:pPr>
              <w:pStyle w:val="TableText"/>
            </w:pPr>
            <w:r>
              <w:rPr>
                <w:rFonts w:ascii="Calibri" w:hAnsi="Calibri"/>
                <w:color w:val="1F2937"/>
                <w:sz w:val="19"/>
              </w:rPr>
              <w:t>NIMC/NIN production integration</w:t>
            </w:r>
          </w:p>
        </w:tc>
        <w:tc>
          <w:tcPr>
            <w:tcW w:type="dxa" w:w="3330"/>
          </w:tcPr>
          <w:p>
            <w:pPr>
              <w:pStyle w:val="TableText"/>
            </w:pPr>
            <w:r>
              <w:rPr>
                <w:rFonts w:ascii="Calibri" w:hAnsi="Calibri"/>
                <w:color w:val="1F2937"/>
                <w:sz w:val="19"/>
              </w:rPr>
              <w:t>Needed to verify real identities and meet privacy/legal obligations.</w:t>
            </w:r>
          </w:p>
        </w:tc>
        <w:tc>
          <w:tcPr>
            <w:tcW w:type="dxa" w:w="3330"/>
          </w:tcPr>
          <w:p>
            <w:pPr>
              <w:pStyle w:val="TableText"/>
            </w:pPr>
            <w:r>
              <w:rPr>
                <w:rFonts w:ascii="Calibri" w:hAnsi="Calibri"/>
                <w:color w:val="1F2937"/>
                <w:sz w:val="19"/>
              </w:rPr>
              <w:t>Obtain formal authority, API access, data-protection review, and consent/retention design.</w:t>
            </w:r>
          </w:p>
        </w:tc>
      </w:tr>
      <w:tr>
        <w:tc>
          <w:tcPr>
            <w:tcW w:type="dxa" w:w="2700"/>
          </w:tcPr>
          <w:p>
            <w:pPr>
              <w:pStyle w:val="TableText"/>
            </w:pPr>
            <w:r>
              <w:rPr>
                <w:rFonts w:ascii="Calibri" w:hAnsi="Calibri"/>
                <w:color w:val="1F2937"/>
                <w:sz w:val="19"/>
              </w:rPr>
              <w:t>Caliper performance benchmark</w:t>
            </w:r>
          </w:p>
        </w:tc>
        <w:tc>
          <w:tcPr>
            <w:tcW w:type="dxa" w:w="3330"/>
          </w:tcPr>
          <w:p>
            <w:pPr>
              <w:pStyle w:val="TableText"/>
            </w:pPr>
            <w:r>
              <w:rPr>
                <w:rFonts w:ascii="Calibri" w:hAnsi="Calibri"/>
                <w:color w:val="1F2937"/>
                <w:sz w:val="19"/>
              </w:rPr>
              <w:t>Needed to make any throughput/latency claim.</w:t>
            </w:r>
          </w:p>
        </w:tc>
        <w:tc>
          <w:tcPr>
            <w:tcW w:type="dxa" w:w="3330"/>
          </w:tcPr>
          <w:p>
            <w:pPr>
              <w:pStyle w:val="TableText"/>
            </w:pPr>
            <w:r>
              <w:rPr>
                <w:rFonts w:ascii="Calibri" w:hAnsi="Calibri"/>
                <w:color w:val="1F2937"/>
                <w:sz w:val="19"/>
              </w:rPr>
              <w:t>Create workloads, record hardware/network conditions, run repeated trials, and publish raw results.</w:t>
            </w:r>
          </w:p>
        </w:tc>
      </w:tr>
      <w:tr>
        <w:tc>
          <w:tcPr>
            <w:tcW w:type="dxa" w:w="2700"/>
          </w:tcPr>
          <w:p>
            <w:pPr>
              <w:pStyle w:val="TableText"/>
            </w:pPr>
            <w:r>
              <w:rPr>
                <w:rFonts w:ascii="Calibri" w:hAnsi="Calibri"/>
                <w:color w:val="1F2937"/>
                <w:sz w:val="19"/>
              </w:rPr>
              <w:t>Expert or user evaluation</w:t>
            </w:r>
          </w:p>
        </w:tc>
        <w:tc>
          <w:tcPr>
            <w:tcW w:type="dxa" w:w="3330"/>
          </w:tcPr>
          <w:p>
            <w:pPr>
              <w:pStyle w:val="TableText"/>
            </w:pPr>
            <w:r>
              <w:rPr>
                <w:rFonts w:ascii="Calibri" w:hAnsi="Calibri"/>
                <w:color w:val="1F2937"/>
                <w:sz w:val="19"/>
              </w:rPr>
              <w:t>Needed to claim usability, acceptance, or perceived trust outcomes.</w:t>
            </w:r>
          </w:p>
        </w:tc>
        <w:tc>
          <w:tcPr>
            <w:tcW w:type="dxa" w:w="3330"/>
          </w:tcPr>
          <w:p>
            <w:pPr>
              <w:pStyle w:val="TableText"/>
            </w:pPr>
            <w:r>
              <w:rPr>
                <w:rFonts w:ascii="Calibri" w:hAnsi="Calibri"/>
                <w:color w:val="1F2937"/>
                <w:sz w:val="19"/>
              </w:rPr>
              <w:t>Obtain ethics/supervisor approval and run a documented study.</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bottom w:w="80" w:type="dxa"/>
              <w:start w:w="120" w:type="dxa"/>
              <w:end w:w="120" w:type="dxa"/>
            </w:tcMar>
            <w:shd w:fill="F4F6F9"/>
          </w:tcPr>
          <w:p>
            <w:pPr>
              <w:spacing w:after="0"/>
            </w:pPr>
            <w:r>
              <w:rPr>
                <w:rFonts w:ascii="Calibri" w:hAnsi="Calibri"/>
                <w:b/>
                <w:color w:val="1F4D78"/>
                <w:sz w:val="21"/>
              </w:rPr>
              <w:t xml:space="preserve">Academic integrity note. </w:t>
            </w:r>
            <w:r>
              <w:rPr>
                <w:rFonts w:ascii="Calibri" w:hAnsi="Calibri"/>
                <w:color w:val="1F2937"/>
                <w:sz w:val="21"/>
              </w:rPr>
              <w:t>The completed prototype demonstrates locally testable workflows and a static deployment. It does not demonstrate a production blockchain, real identity verification, legal title transfer, real payment settlement, or measured performance superiority.</w:t>
            </w:r>
          </w:p>
        </w:tc>
      </w:tr>
    </w:tbl>
    <w:p>
      <w:pPr>
        <w:spacing w:after="0"/>
      </w:pPr>
    </w:p>
    <w:p>
      <w:pPr>
        <w:pStyle w:val="Heading1"/>
      </w:pPr>
      <w:r>
        <w:t>8. Conclusion</w:t>
      </w:r>
    </w:p>
    <w:p>
      <w:r>
        <w:rPr>
          <w:rFonts w:ascii="Calibri" w:hAnsi="Calibri"/>
          <w:i w:val="0"/>
        </w:rPr>
        <w:t>The BLMS implementation has produced a working, deployable local prototype that maps directly to the land-administration problems identified in the review: it improves demonstrability of registration rules, transaction traceability, document-content verification, role separation, and audit visibility. The architecture deliberately allows the application to function without Docker or external services, which makes it practical for academic demonstration and Netlify testing. The Go chaincode provides a credible starting point for the required Hyperledger Fabric research track. The next claimable research result should follow only after the Fabric network, integration tests, and transparent evaluation protocol have been completed.</w:t>
      </w:r>
    </w:p>
    <w:p>
      <w:pPr>
        <w:pStyle w:val="Heading1"/>
      </w:pPr>
      <w:r>
        <w:t>References</w:t>
      </w:r>
    </w:p>
    <w:p>
      <w:pPr>
        <w:spacing w:after="80" w:line="276" w:lineRule="auto"/>
        <w:ind w:left="360" w:hanging="360"/>
      </w:pPr>
      <w:r>
        <w:rPr>
          <w:rFonts w:ascii="Calibri" w:hAnsi="Calibri"/>
          <w:sz w:val="20"/>
        </w:rPr>
        <w:t>Project source code and verification run, BLMS repository, accessed 18 July 2026.</w:t>
      </w:r>
    </w:p>
    <w:p>
      <w:pPr>
        <w:spacing w:after="80" w:line="276" w:lineRule="auto"/>
        <w:ind w:left="360" w:hanging="360"/>
      </w:pPr>
      <w:r>
        <w:rPr>
          <w:rFonts w:ascii="Calibri" w:hAnsi="Calibri"/>
          <w:sz w:val="20"/>
        </w:rPr>
        <w:t>BLMS README and phased implementation plan, local project documentation, accessed 18 July 2026.</w:t>
      </w:r>
    </w:p>
    <w:p>
      <w:pPr>
        <w:spacing w:after="80" w:line="276" w:lineRule="auto"/>
        <w:ind w:left="360" w:hanging="360"/>
      </w:pPr>
      <w:r>
        <w:rPr>
          <w:rFonts w:ascii="Calibri" w:hAnsi="Calibri"/>
          <w:sz w:val="20"/>
        </w:rPr>
        <w:t>Netlify static deployment: https://blms-local-registry.netlify.app (prototype demonstration site).</w:t>
      </w:r>
    </w:p>
    <w:p>
      <w:pPr>
        <w:spacing w:after="80" w:line="276" w:lineRule="auto"/>
        <w:ind w:left="360" w:hanging="360"/>
      </w:pPr>
      <w:r>
        <w:rPr>
          <w:rFonts w:ascii="Calibri" w:hAnsi="Calibri"/>
          <w:sz w:val="20"/>
        </w:rPr>
        <w:t>Androulaki, E., Barger, A., Bortnikov, V., et al. (2018). Hyperledger Fabric: A distributed operating system for permissioned blockchains. Proceedings of the Thirteenth EuroSys Conference. https://doi.org/10.1145/3190508.3190538</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B6573"/>
        <w:sz w:val="18"/>
      </w:rPr>
      <w:t xml:space="preserve">BLMS | Page </w:t>
    </w:r>
    <w:r>
      <w:rPr>
        <w:rFonts w:ascii="Calibri" w:hAnsi="Calibri"/>
        <w:color w:val="5B6573"/>
        <w:sz w:val="18"/>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B6573"/>
        <w:sz w:val="18"/>
      </w:rPr>
      <w:t>IMPLEMENTATION RESULTS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0"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after="0" w:line="264" w:lineRule="auto"/>
    </w:pPr>
    <w:rPr>
      <w:rFonts w:ascii="Calibri" w:hAnsi="Calibri"/>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