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24"/>
        </w:rPr>
        <w:t>BLOCKCHAIN-BASED LAND MANAGEMENT SYSTEM (BLMS)</w:t>
      </w:r>
    </w:p>
    <w:p>
      <w:pPr>
        <w:spacing w:after="240"/>
        <w:jc w:val="center"/>
      </w:pPr>
      <w:r>
        <w:rPr>
          <w:rFonts w:ascii="Calibri" w:hAnsi="Calibri"/>
          <w:b/>
          <w:color w:val="1F2937"/>
          <w:sz w:val="46"/>
        </w:rPr>
        <w:t>Implementation Progress Report</w:t>
      </w:r>
    </w:p>
    <w:p>
      <w:pPr>
        <w:spacing w:after="560"/>
        <w:jc w:val="center"/>
      </w:pPr>
      <w:r>
        <w:rPr>
          <w:rFonts w:ascii="Calibri" w:hAnsi="Calibri"/>
          <w:i/>
          <w:color w:val="5B6573"/>
          <w:sz w:val="26"/>
        </w:rPr>
        <w:t>A defensible status report for the Blockchain-Based Land Management System (BLMS)</w:t>
      </w:r>
    </w:p>
    <w:p>
      <w:pPr>
        <w:jc w:val="center"/>
      </w:pPr>
      <w:r>
        <w:rPr>
          <w:rFonts w:ascii="Calibri" w:hAnsi="Calibri"/>
          <w:b/>
          <w:color w:val="1F2937"/>
          <w:sz w:val="24"/>
        </w:rPr>
        <w:t>Project Supervisor Submission</w:t>
      </w:r>
    </w:p>
    <w:p>
      <w:pPr>
        <w:spacing w:before="1720"/>
        <w:jc w:val="center"/>
      </w:pPr>
      <w:r>
        <w:rPr>
          <w:rFonts w:ascii="Calibri" w:hAnsi="Calibri"/>
          <w:color w:val="1F2937"/>
          <w:sz w:val="24"/>
        </w:rPr>
        <w:t>Prepared by</w:t>
        <w:br/>
        <w:t>OMO LOUIS</w:t>
        <w:br/>
        <w:t>Department of Computer Science</w:t>
        <w:br/>
        <w:t>Faculty of Science</w:t>
      </w:r>
    </w:p>
    <w:p>
      <w:pPr>
        <w:spacing w:before="1040"/>
        <w:jc w:val="center"/>
      </w:pPr>
      <w:r>
        <w:rPr>
          <w:rFonts w:ascii="Calibri" w:hAnsi="Calibri"/>
          <w:color w:val="5B6573"/>
          <w:sz w:val="22"/>
        </w:rPr>
        <w:t>July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rFonts w:ascii="Calibri" w:hAnsi="Calibri"/>
          <w:i w:val="0"/>
        </w:rPr>
        <w:t>BLMS is currently a working local academic prototype for secure and transparent land-administration workflows. The completed delivery is the Docker-free, browser-local and static-deployment path: a responsive React dashboard supports synthetic user authentication, parcel registration, property listing, simulated purchase, document-content verification, government levy management, audit history, and revenue summary. The project also includes an optional Express API, a mock ledger, a synthetic identity gateway, and a Go Hyperledger Fabric chaincode package.</w:t>
      </w:r>
    </w:p>
    <w:p>
      <w:r>
        <w:rPr>
          <w:rFonts w:ascii="Calibri" w:hAnsi="Calibri"/>
          <w:i w:val="0"/>
        </w:rPr>
        <w:t>The present evidence supports a claim of a functioning research prototype, not a production land registry. The system is not connected to NIMC, a government registry, a bank, a payment rail, a live IPFS node, or a running Hyperledger Fabric network. The chaincode source is present, but Fabric-network deployment, Gateway integration, Go compilation/testing, Caliper benchmarking, and user/expert evaluation are still pending. This distinction is deliberate and is central to a defensible presentation.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Current position. </w:t>
            </w:r>
            <w:r>
              <w:rPr>
                <w:rFonts w:ascii="Calibri" w:hAnsi="Calibri"/>
                <w:color w:val="1F2937"/>
                <w:sz w:val="21"/>
              </w:rPr>
              <w:t>The local and static demonstration path is implemented and tested. The Hyperledger Fabric research track has started with Go chaincode but has not yet become the active application ledger.</w:t>
            </w:r>
          </w:p>
        </w:tc>
      </w:tr>
    </w:tbl>
    <w:p>
      <w:pPr>
        <w:spacing w:after="0"/>
      </w:pPr>
    </w:p>
    <w:p>
      <w:pPr>
        <w:pStyle w:val="Heading1"/>
      </w:pPr>
      <w:r>
        <w:t>1. Project purpose and scope</w:t>
      </w:r>
    </w:p>
    <w:p>
      <w:r>
        <w:rPr>
          <w:rFonts w:ascii="Calibri" w:hAnsi="Calibri"/>
          <w:i w:val="0"/>
        </w:rPr>
        <w:t>The project investigates how a blockchain-based land management system could improve traceability, accountability, and document-integrity checking in land administration in Nigeria. The prototype models the core workflow: register a parcel, attach and verify a supporting document, list a property, perform a simulated transfer, apply a levy through a government role, and retain a history of actions.</w:t>
      </w:r>
    </w:p>
    <w:p>
      <w:r>
        <w:rPr>
          <w:rFonts w:ascii="Calibri" w:hAnsi="Calibri"/>
          <w:i w:val="0"/>
        </w:rPr>
        <w:t>The scope has been delivered in phases so that the application can be demonstrated locally and hosted as a static site without requiring Docker, paid infrastructure, or external government services. This was a practical implementation decision: it permits repeatable academic demonstration while leaving the more complex permissioned-blockchain deployment as a separately testable research phase.</w:t>
      </w:r>
    </w:p>
    <w:p>
      <w:pPr>
        <w:pStyle w:val="Heading1"/>
      </w:pPr>
      <w:r>
        <w:t>2. Implementation progress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Workstream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Current status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Evidence and scope boundary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Web application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Implemented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React/Vite dashboard with responsive navigation, role-aware pages, registration, marketplace, audit, profile, health, and reset flows.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Browser-local demo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Implemented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Default adapter uses browser localStorage and local content hashing; no API, Docker, IPFS node, Fabric network, or environment variable is required.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Optional API and mock ledger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Implemented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Express API with validation, role checks, JWT/cookie security controls, audit events, and a deterministic in-memory ledger contract.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Identity and document workflow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Implemented for local demonstration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Synthetic NIN records and masked logging; SHA-256-based document content identifiers with MATCH/MISMATCH verification. No live NIMC integration.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Static deployment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Implemented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Netlify configuration produces a static React build that automatically uses the browser-local adapter when no API URL is provided.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Go land chaincode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Source implemented; not execution-verified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Contract source exists for Fabric-mode rules. Go is not installed in the workspace, so Go test/vet and network deployment have not been executed.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Fabric network and Gateway adapter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Pending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No two-organisation network, certificates, peers/orderers, channel, deployed chaincode, or FabricLedgerService is currently running.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Performance and user evaluation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Pending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No Caliper benchmark, throughput claim, formal E2E suite, or expert/user study has been executed.</w:t>
            </w:r>
          </w:p>
        </w:tc>
      </w:tr>
    </w:tbl>
    <w:p>
      <w:pPr>
        <w:spacing w:after="0"/>
      </w:pPr>
    </w:p>
    <w:p>
      <w:pPr>
        <w:pStyle w:val="Heading1"/>
      </w:pPr>
      <w:r>
        <w:t>3. What the working prototype demonstrates</w:t>
      </w:r>
    </w:p>
    <w:p>
      <w:pPr>
        <w:pStyle w:val="Heading2"/>
      </w:pPr>
      <w:r>
        <w:t>3.1 Role-aware land workflow</w:t>
      </w:r>
    </w:p>
    <w:p>
      <w:r>
        <w:rPr>
          <w:rFonts w:ascii="Calibri" w:hAnsi="Calibri"/>
          <w:i w:val="0"/>
        </w:rPr>
        <w:t>Four development-only synthetic accounts demonstrate citizen, government-officer, and administrator roles. A citizen can create a parcel record, while duplicate parcel and title numbers are rejected. The current owner can list and cancel a listing; another citizen can complete a simulated purchase. The system records the associated transaction and audit entry. No money is moved and no legal title is conveyed.</w:t>
      </w:r>
    </w:p>
    <w:p>
      <w:pPr>
        <w:pStyle w:val="Heading2"/>
      </w:pPr>
      <w:r>
        <w:t>3.2 Document-content verification</w:t>
      </w:r>
    </w:p>
    <w:p>
      <w:r>
        <w:rPr>
          <w:rFonts w:ascii="Calibri" w:hAnsi="Calibri"/>
          <w:i w:val="0"/>
        </w:rPr>
        <w:t>The prototype accepts PDF, PNG, and JPEG documents within a defined size limit and validates the file signature. It calculates a browser-local SHA-256-based content identifier. A later candidate file is marked MATCH only when its content produces the same identifier; altered content returns MISMATCH. This demonstrates integrity checking, not a production IPFS vault or legal evidence repository.</w:t>
      </w:r>
    </w:p>
    <w:p>
      <w:pPr>
        <w:pStyle w:val="Heading2"/>
      </w:pPr>
      <w:r>
        <w:t>3.3 Government and audit functions</w:t>
      </w:r>
    </w:p>
    <w:p>
      <w:r>
        <w:rPr>
          <w:rFonts w:ascii="Calibri" w:hAnsi="Calibri"/>
          <w:i w:val="0"/>
        </w:rPr>
        <w:t>Government and administrator roles can apply land levies and view a simulated revenue summary. Audit entries record the actor, organisation, action, time, property reference, and outcome. In the static mode these records live in the browser, so they are a workflow demonstration rather than independently replicated blockchain evidence.</w:t>
      </w:r>
    </w:p>
    <w:p>
      <w:pPr>
        <w:pStyle w:val="Heading2"/>
      </w:pPr>
      <w:r>
        <w:t>3.4 Responsive static delivery</w:t>
      </w:r>
    </w:p>
    <w:p>
      <w:r>
        <w:rPr>
          <w:rFonts w:ascii="Calibri" w:hAnsi="Calibri"/>
          <w:i w:val="0"/>
        </w:rPr>
        <w:t>The dashboard is responsive. On compact screens, the sidebar becomes a slide-in menu with an overlay, close action, and Escape-key support. The static build can be published to Netlify with no environment variables because it defaults to the browser-local adapter. This makes it suitable for assessment, demonstrations, and interface testing without external dependencies.</w:t>
      </w:r>
    </w:p>
    <w:p>
      <w:pPr>
        <w:pStyle w:val="Heading1"/>
      </w:pPr>
      <w:r>
        <w:t>4. Technical architecture and technology rationale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80"/>
        <w:gridCol w:w="528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Layer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Technology</w:t>
            </w:r>
          </w:p>
        </w:tc>
        <w:tc>
          <w:tcPr>
            <w:tcW w:type="dxa" w:w="5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Reason for use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Frontend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React, TypeScript, Vite, React Router, React Query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Supports a maintainable responsive single-page application, typed data flow, role-aware screens, and a fast static build.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Offline data layer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Browser localStorage and Web Crypto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Allows all core demonstration flows to run locally or on static hosting; Web Crypto provides deterministic content hashing for document verification.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Optional backend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Node.js, Express, Zod, JWT, bcrypt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Provides a conventional API-mode architecture with input validation, authentication, protected routes, and an adapter boundary for future ledger replacement.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Identity gateway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Express synthetic service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Makes identity-dependent workflow behaviour testable without claiming access to NIMC or real NIN records.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Ledger abstraction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LedgerService contract and mock ledger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Separates application workflows from the underlying ledger and permits future replacement by a Fabric adapter.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Blockchain research track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Hyperledger Fabric-oriented Go chaincode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Models permissioned membership, role/organisation checks, duplicate prevention, history, and events for a two-organisation citizen-government design.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Deployment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Netlify static hosting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Hosts the frontend at no infrastructure cost for prototype review; it is not the host for a full Fabric network.</w:t>
            </w:r>
          </w:p>
        </w:tc>
      </w:tr>
    </w:tbl>
    <w:p>
      <w:pPr>
        <w:spacing w:after="0"/>
      </w:pPr>
    </w:p>
    <w:p>
      <w:pPr>
        <w:pStyle w:val="Heading1"/>
      </w:pPr>
      <w:r>
        <w:t>5. Verification results</w:t>
      </w:r>
    </w:p>
    <w:p>
      <w:r>
        <w:rPr>
          <w:rFonts w:ascii="Calibri" w:hAnsi="Calibri"/>
          <w:i w:val="0"/>
        </w:rPr>
        <w:t>The following verification commands were executed in the project workspace on 28 July 2026. The test evidence is limited to completed checks; unexecuted Fabric and Go tasks are listed as pending rather than inferred from source code.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0"/>
        <w:gridCol w:w="2160"/>
        <w:gridCol w:w="4660"/>
      </w:tblGrid>
      <w:tr>
        <w:trPr>
          <w:tblHeader w:val="true"/>
        </w:trP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Verification activity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Result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What it establishes</w:t>
            </w:r>
          </w:p>
        </w:tc>
      </w:tr>
      <w:tr>
        <w:tc>
          <w:tcPr>
            <w:tcW w:type="dxa" w:w="254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TypeScript typecheck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Shared package, API, identity gateway, and web workspace compile without reported TypeScript errors.</w:t>
            </w:r>
          </w:p>
        </w:tc>
      </w:tr>
      <w:tr>
        <w:tc>
          <w:tcPr>
            <w:tcW w:type="dxa" w:w="254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API automated tests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5 passed; 0 failed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Validated mock-mode health, login/land query, simulated purchase and fee allocation, government-only revenue access, and document MATCH/MISMATCH behaviour.</w:t>
            </w:r>
          </w:p>
        </w:tc>
      </w:tr>
      <w:tr>
        <w:tc>
          <w:tcPr>
            <w:tcW w:type="dxa" w:w="254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Identity-gateway tests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3 passed; 0 failed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Validated synthetic-record health, masked synthetic verification, and local status-key protection.</w:t>
            </w:r>
          </w:p>
        </w:tc>
      </w:tr>
      <w:tr>
        <w:tc>
          <w:tcPr>
            <w:tcW w:type="dxa" w:w="254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Production web build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Vite transformed 92 modules and produced the static frontend bundle for deployment.</w:t>
            </w:r>
          </w:p>
        </w:tc>
      </w:tr>
      <w:tr>
        <w:tc>
          <w:tcPr>
            <w:tcW w:type="dxa" w:w="254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Go chaincode verification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Not executed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Go is not installed in this workspace; `go test ./...` and `go vet ./...` remain required before chaincode claims can be made.</w:t>
            </w:r>
          </w:p>
        </w:tc>
      </w:tr>
      <w:tr>
        <w:tc>
          <w:tcPr>
            <w:tcW w:type="dxa" w:w="254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Fabric integration / benchmark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Not executed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No running Fabric topology, Gateway adapter, Caliper workload, throughput result, or comparative benchmark exists yet.</w:t>
            </w:r>
          </w:p>
        </w:tc>
      </w:tr>
    </w:tbl>
    <w:p>
      <w:pPr>
        <w:spacing w:after="0"/>
      </w:pPr>
    </w:p>
    <w:p>
      <w:pPr>
        <w:pStyle w:val="Heading1"/>
      </w:pPr>
      <w:r>
        <w:t>6. Hyperledger Fabric contribution and current boundary</w:t>
      </w:r>
    </w:p>
    <w:p>
      <w:r>
        <w:rPr>
          <w:rFonts w:ascii="Calibri" w:hAnsi="Calibri"/>
          <w:i w:val="0"/>
        </w:rPr>
        <w:t>Hyperledger Fabric remains the intended blockchain platform for the full research implementation. The repository includes Go chaincode for land lifecycle operations. Its stated rules include certificate-attribute checks, duplicate parcel/title prevention, owner-only listing, government-only levy updates, atomic purchase logic, a simulated 5% government fee, document CID comparison, history queries, and a `LandTransferred` event. It is designed for an endorsement policy involving CitizenOrg and GovernmentOrg.</w:t>
      </w:r>
    </w:p>
    <w:p>
      <w:r>
        <w:rPr>
          <w:rFonts w:ascii="Calibri" w:hAnsi="Calibri"/>
          <w:i w:val="0"/>
        </w:rPr>
        <w:t>This contribution should be described accurately to a supervisor: it is a concrete chaincode artifact, not proof of a live distributed ledger. A production-like Fabric result requires Go toolchain verification, certificate authorities, peers, orderers, channel creation, endorsement-policy configuration, chaincode deployment, and a Node Gateway adapter that makes the application submit and query real ledger transactions.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Recommended defence wording. </w:t>
            </w:r>
            <w:r>
              <w:rPr>
                <w:rFonts w:ascii="Calibri" w:hAnsi="Calibri"/>
                <w:color w:val="1F2937"/>
                <w:sz w:val="21"/>
              </w:rPr>
              <w:t>“The project has implemented and verified the complete local user workflow. The Fabric chaincode has been designed as the ledger-rule layer, while the Fabric network and Gateway integration are the next controlled deployment phase. I do not claim live Fabric performance until that phase is executed and measured.”</w:t>
            </w:r>
          </w:p>
        </w:tc>
      </w:tr>
    </w:tbl>
    <w:p>
      <w:pPr>
        <w:spacing w:after="0"/>
      </w:pPr>
    </w:p>
    <w:p>
      <w:pPr>
        <w:pStyle w:val="Heading1"/>
      </w:pPr>
      <w:r>
        <w:t>7. Limitations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All accounts, identity records, parcels, payments, revenue values, and transactions are synthetic demonstration data.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The static browser mode is not a blockchain, a government registry, or an independently replicated audit ledger; its data is stored in the local browser.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The document-CID workflow demonstrates file-content integrity only. It does not make a document legally valid or provide a live IPFS network.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No external payment, bank, NIMC, or government-land-registry service is connected.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No performance, TPS, latency, user-acceptance, expert-evaluation, or security-compliance claim should be made until a documented evaluation is completed.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The Go chaincode source has not been compiled, vetted, or deployed in this workspace because Go and a Fabric network are not available.</w:t>
      </w:r>
    </w:p>
    <w:p>
      <w:pPr>
        <w:pStyle w:val="Heading1"/>
      </w:pPr>
      <w:r>
        <w:t>8. Next implementation and evaluation plan</w:t>
      </w:r>
    </w:p>
    <w:p>
      <w:r>
        <w:rPr>
          <w:rFonts w:ascii="Calibri" w:hAnsi="Calibri"/>
          <w:i w:val="0"/>
        </w:rPr>
        <w:t>The next phase should focus on evidence, not additional unverified claims. The sequence below preserves the existing local workflow while progressively replacing the mock/browser ledger behind the existing adapter contract.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Install Go 1.22+ and run `go mod tidy`, `go test ./...`, and `go vet ./...` for the land chaincode; fix any findings before deployment.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Build the two-organisation Hyperledger Fabric network with separate CitizenOrg and GovernmentOrg identities, channel configuration, TLS, peer/orderer services, and the intended endorsement policy.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Deploy the Go chaincode and implement the `FabricLedgerService`/Gateway adapter so the application can submit and query Fabric transactions without changing the UI workflow.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Create repeatable integration tests for registration, duplicate rejection, listing, purchase, levy updates, history, document CID verification, and role failures in Fabric mode.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Define a Caliper or equivalent performance protocol with stated hardware, topology, workload, payload sizes, repetitions, and baseline before collecting throughput or latency results.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Seek supervisor/ethics guidance before conducting any expert or user study; record sample, instrument, method, and limitations before reporting acceptance or usability results.</w:t>
      </w:r>
    </w:p>
    <w:p>
      <w:pPr>
        <w:pStyle w:val="Heading1"/>
      </w:pPr>
      <w:r>
        <w:t>9. Conclusion</w:t>
      </w:r>
    </w:p>
    <w:p>
      <w:r>
        <w:rPr>
          <w:rFonts w:ascii="Calibri" w:hAnsi="Calibri"/>
          <w:i w:val="0"/>
        </w:rPr>
        <w:t>BLMS has reached a credible local-prototype milestone. It can demonstrate secure workflow concepts through typed validation, role checks, parcel/title uniqueness, audit records, document-content verification, simulated transfer logic, and a static responsive interface. The test suite and production build provide objective evidence that this local slice works. The project has also begun the central blockchain requirement through a Go land-chaincode artifact. The appropriate next claim is not that a full blockchain land registry is already deployed; it is that the local system is implemented and verified, and the Fabric network/integration phase is clearly specified and ready for controlled execution.</w:t>
      </w:r>
    </w:p>
    <w:p>
      <w:pPr>
        <w:pStyle w:val="Heading1"/>
      </w:pPr>
      <w:r>
        <w:t>References</w:t>
      </w:r>
    </w:p>
    <w:p>
      <w:pPr>
        <w:spacing w:after="80" w:line="276" w:lineRule="auto"/>
        <w:ind w:left="360" w:hanging="360"/>
      </w:pPr>
      <w:r>
        <w:rPr>
          <w:rFonts w:ascii="Calibri" w:hAnsi="Calibri"/>
          <w:sz w:val="20"/>
        </w:rPr>
        <w:t>BLMS project README, implementation plan, source code, test output, and build output; verified in the local project workspace on 28 July 2026.</w:t>
      </w:r>
    </w:p>
    <w:p>
      <w:pPr>
        <w:spacing w:after="80" w:line="276" w:lineRule="auto"/>
        <w:ind w:left="360" w:hanging="360"/>
      </w:pPr>
      <w:r>
        <w:rPr>
          <w:rFonts w:ascii="Calibri" w:hAnsi="Calibri"/>
          <w:sz w:val="20"/>
        </w:rPr>
        <w:t>Androulaki, E., Barger, A., Bortnikov, V., et al. (2018). Hyperledger Fabric: A distributed operating system for permissioned blockchains. Proceedings of the Thirteenth EuroSys Conference. https://doi.org/10.1145/3190508.3190538</w:t>
      </w:r>
    </w:p>
    <w:p>
      <w:pPr>
        <w:spacing w:after="80" w:line="276" w:lineRule="auto"/>
        <w:ind w:left="360" w:hanging="360"/>
      </w:pPr>
      <w:r>
        <w:rPr>
          <w:rFonts w:ascii="Calibri" w:hAnsi="Calibri"/>
          <w:sz w:val="20"/>
        </w:rPr>
        <w:t>Zein, R. M., &amp; Twinomurinzi, H. (2024). Information sharing in land registration using Hyperledger Fabric blockchain. Digital, 2(2), 6. https://doi.org/10.3390/digital2020006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BLMS | Page </w:t>
    </w:r>
    <w:r>
      <w:rPr>
        <w:rFonts w:ascii="Calibri" w:hAnsi="Calibr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8"/>
      </w:rPr>
      <w:t>SUPERVISOR IMPLEMENTATION PROGRESS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64" w:lineRule="auto"/>
    </w:pPr>
    <w:rPr>
      <w:rFonts w:ascii="Calibri" w:hAnsi="Calibr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