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0"/>
      </w:pPr>
    </w:p>
    <w:p>
      <w:pPr>
        <w:spacing w:after="0"/>
      </w:pPr>
    </w:p>
    <w:p>
      <w:pPr>
        <w:spacing w:after="0"/>
      </w:pPr>
    </w:p>
    <w:p>
      <w:pPr>
        <w:spacing w:after="200"/>
        <w:jc w:val="center"/>
      </w:pPr>
      <w:r>
        <w:rPr>
          <w:rFonts w:ascii="Calibri" w:hAnsi="Calibri"/>
          <w:b/>
          <w:color w:val="1F4D78"/>
          <w:sz w:val="24"/>
        </w:rPr>
        <w:t>BLOCKCHAIN-BASED LAND MANAGEMENT SYSTEM (BLMS)</w:t>
      </w:r>
    </w:p>
    <w:p>
      <w:pPr>
        <w:spacing w:after="240"/>
        <w:jc w:val="center"/>
      </w:pPr>
      <w:r>
        <w:rPr>
          <w:rFonts w:ascii="Calibri" w:hAnsi="Calibri"/>
          <w:b/>
          <w:color w:val="1F2937"/>
          <w:sz w:val="46"/>
        </w:rPr>
        <w:t>Systematic Literature Review</w:t>
      </w:r>
    </w:p>
    <w:p>
      <w:pPr>
        <w:spacing w:after="560"/>
        <w:jc w:val="center"/>
      </w:pPr>
      <w:r>
        <w:rPr>
          <w:rFonts w:ascii="Calibri" w:hAnsi="Calibri"/>
          <w:i/>
          <w:color w:val="5B6573"/>
          <w:sz w:val="26"/>
        </w:rPr>
        <w:t>Problem and solution domains for a blockchain-based land management system in Nigeria</w:t>
      </w:r>
    </w:p>
    <w:p>
      <w:pPr>
        <w:jc w:val="center"/>
      </w:pPr>
      <w:r>
        <w:rPr>
          <w:rFonts w:ascii="Calibri" w:hAnsi="Calibri"/>
          <w:b/>
          <w:color w:val="1F2937"/>
          <w:sz w:val="24"/>
        </w:rPr>
        <w:t>Lecturer Submission</w:t>
      </w:r>
    </w:p>
    <w:p>
      <w:pPr>
        <w:spacing w:before="1720"/>
        <w:jc w:val="center"/>
      </w:pPr>
      <w:r>
        <w:rPr>
          <w:rFonts w:ascii="Calibri" w:hAnsi="Calibri"/>
          <w:color w:val="1F2937"/>
          <w:sz w:val="24"/>
        </w:rPr>
        <w:t>Prepared by</w:t>
        <w:br/>
        <w:t>OMO LOUIS</w:t>
        <w:br/>
        <w:t>Department of Computer Science</w:t>
        <w:br/>
        <w:t>Faculty of Science</w:t>
      </w:r>
    </w:p>
    <w:p>
      <w:pPr>
        <w:spacing w:before="1040"/>
        <w:jc w:val="center"/>
      </w:pPr>
      <w:r>
        <w:rPr>
          <w:rFonts w:ascii="Calibri" w:hAnsi="Calibri"/>
          <w:color w:val="5B6573"/>
          <w:sz w:val="22"/>
        </w:rPr>
        <w:t>July 2026</w:t>
      </w:r>
    </w:p>
    <w:p>
      <w:r>
        <w:br w:type="page"/>
      </w:r>
    </w:p>
    <w:p>
      <w:pPr>
        <w:pStyle w:val="Heading1"/>
      </w:pPr>
      <w:r>
        <w:t>Abstract</w:t>
      </w:r>
    </w:p>
    <w:p>
      <w:r>
        <w:rPr>
          <w:rFonts w:ascii="Calibri" w:hAnsi="Calibri"/>
          <w:i w:val="0"/>
        </w:rPr>
        <w:t>This review examines the problem and solution domains relevant to the proposed Blockchain-Based Land Management System (BLMS) for Nigeria. It synthesises peer-reviewed and scholarly work on land-administration failures, blockchain-enabled land registration, permissioned ledgers, content-addressed document verification, smart contracts, and adoption barriers. A protocol-led search was undertaken on 18 July 2026 using Google Scholar-compatible web discovery, publisher pages, institutional repositories, and DOI records. The eligible evidence consistently identifies weak record integrity, opaque verification, fragmented institutions, delays, and double allocation risks as central problem-domain concerns. The solution literature supports blockchain principally as a shared audit and coordination layer, not as a substitute for legal adjudication or reliable source data. Hyperledger Fabric is relevant because permissioned membership, organisational separation, and endorsement can reflect a citizen-government setting; content addressing can make document changes detectable without placing documents directly on-chain. The review therefore supports a phased BLMS design, beginning with demonstrable workflow integrity and explicitly reserving live identity, IPFS, Fabric-network deployment, performance benchmarking, and legal integration for separately evaluated phases.</w:t>
      </w:r>
    </w:p>
    <w:p>
      <w:r>
        <w:rPr>
          <w:rFonts w:ascii="Calibri" w:hAnsi="Calibri"/>
          <w:b/>
        </w:rPr>
        <w:t>Keywords:</w:t>
      </w:r>
      <w:r>
        <w:rPr>
          <w:rFonts w:ascii="Calibri" w:hAnsi="Calibri"/>
          <w:i w:val="0"/>
        </w:rPr>
        <w:t xml:space="preserve"> land administration; land registration; Nigeria; blockchain; Hyperledger Fabric; IPFS; smart contracts; systematic literature review.</w:t>
      </w:r>
    </w:p>
    <w:p>
      <w:pPr>
        <w:pStyle w:val="Heading1"/>
      </w:pPr>
      <w:r>
        <w:t>1. Introduction</w:t>
      </w:r>
    </w:p>
    <w:p>
      <w:r>
        <w:rPr>
          <w:rFonts w:ascii="Calibri" w:hAnsi="Calibri"/>
          <w:i w:val="0"/>
        </w:rPr>
        <w:t>Land administration depends on trustworthy evidence of rights, parcels, transfers, and official decisions. In Nigeria, the literature repeatedly associates current processes with slow registration, weak transparency, fragmented records, multiple sales or allocations, cost, and institutional bottlenecks. The project question is therefore not merely whether a blockchain can store a title. It is how a secure digital workflow can improve traceability and accountability while respecting the continuing legal and institutional role of land authorities.</w:t>
      </w:r>
    </w:p>
    <w:p>
      <w:r>
        <w:rPr>
          <w:rFonts w:ascii="Calibri" w:hAnsi="Calibri"/>
          <w:i w:val="0"/>
        </w:rPr>
        <w:t>This document is a structured systematic literature review and a reproducible protocol, prepared for the BLMS project. It follows the reporting intent of PRISMA 2020 and the protocol discipline recommended for software-engineering SLRs by Kitchenham and Charters. It does not invent database counts or claim exhaustive access to subscription databases. The included evidence list and screening logic are supplied so a supervisor can reproduce or extend the review through Scopus, Web of Science, IEEE Xplore, or institutional-library access.</w:t>
      </w:r>
    </w:p>
    <w:p>
      <w:pPr>
        <w:pStyle w:val="Heading1"/>
      </w:pPr>
      <w:r>
        <w:t>2. Review protocol</w:t>
      </w:r>
    </w:p>
    <w:p>
      <w:pPr>
        <w:pStyle w:val="Heading2"/>
      </w:pPr>
      <w:r>
        <w:t>2.1 Review objective and research questions</w:t>
      </w:r>
    </w:p>
    <w:p>
      <w:r>
        <w:rPr>
          <w:rFonts w:ascii="Calibri" w:hAnsi="Calibri"/>
          <w:i w:val="0"/>
        </w:rPr>
        <w:t>The objective is to synthesise evidence on the land-administration problem domain and the technical, legal, and organisational solution domain of blockchain-enabled land registration, with a Nigeria-focused interpretation for the BLMS.</w:t>
      </w:r>
    </w:p>
    <w:tbl>
      <w:tblPr>
        <w:tblStyle w:val="TableGrid"/>
        <w:tblW w:type="dxa" w:w="9360"/>
        <w:jc w:val="left"/>
        <w:tblLayout w:type="fixed"/>
        <w:tblLook w:firstColumn="1" w:firstRow="1" w:lastColumn="0" w:lastRow="0" w:noHBand="0" w:noVBand="1" w:val="04A0"/>
        <w:tblInd w:w="120" w:type="dxa"/>
      </w:tblPr>
      <w:tblGrid>
        <w:gridCol w:w="720"/>
        <w:gridCol w:w="3960"/>
        <w:gridCol w:w="4680"/>
      </w:tblGrid>
      <w:tr>
        <w:trPr>
          <w:tblHeader w:val="true"/>
        </w:trPr>
        <w:tc>
          <w:tcPr>
            <w:tcW w:type="dxa" w:w="720"/>
            <w:vAlign w:val="center"/>
            <w:tcMar>
              <w:top w:w="80" w:type="dxa"/>
              <w:bottom w:w="80" w:type="dxa"/>
              <w:start w:w="120" w:type="dxa"/>
              <w:end w:w="120" w:type="dxa"/>
            </w:tcMar>
            <w:shd w:fill="E8EEF5"/>
          </w:tcPr>
          <w:p>
            <w:pPr>
              <w:pStyle w:val="TableText"/>
            </w:pPr>
            <w:r>
              <w:rPr>
                <w:rFonts w:ascii="Calibri" w:hAnsi="Calibri"/>
                <w:b/>
                <w:color w:val="1F4D78"/>
                <w:sz w:val="19"/>
              </w:rPr>
              <w:t>ID</w:t>
            </w:r>
          </w:p>
        </w:tc>
        <w:tc>
          <w:tcPr>
            <w:tcW w:type="dxa" w:w="3960"/>
            <w:vAlign w:val="center"/>
            <w:tcMar>
              <w:top w:w="80" w:type="dxa"/>
              <w:bottom w:w="80" w:type="dxa"/>
              <w:start w:w="120" w:type="dxa"/>
              <w:end w:w="120" w:type="dxa"/>
            </w:tcMar>
            <w:shd w:fill="E8EEF5"/>
          </w:tcPr>
          <w:p>
            <w:pPr>
              <w:pStyle w:val="TableText"/>
            </w:pPr>
            <w:r>
              <w:rPr>
                <w:rFonts w:ascii="Calibri" w:hAnsi="Calibri"/>
                <w:b/>
                <w:color w:val="1F4D78"/>
                <w:sz w:val="19"/>
              </w:rPr>
              <w:t>Research question</w:t>
            </w:r>
          </w:p>
        </w:tc>
        <w:tc>
          <w:tcPr>
            <w:tcW w:type="dxa" w:w="4680"/>
            <w:vAlign w:val="center"/>
            <w:tcMar>
              <w:top w:w="80" w:type="dxa"/>
              <w:bottom w:w="80" w:type="dxa"/>
              <w:start w:w="120" w:type="dxa"/>
              <w:end w:w="120" w:type="dxa"/>
            </w:tcMar>
            <w:shd w:fill="E8EEF5"/>
          </w:tcPr>
          <w:p>
            <w:pPr>
              <w:pStyle w:val="TableText"/>
            </w:pPr>
            <w:r>
              <w:rPr>
                <w:rFonts w:ascii="Calibri" w:hAnsi="Calibri"/>
                <w:b/>
                <w:color w:val="1F4D78"/>
                <w:sz w:val="19"/>
              </w:rPr>
              <w:t>Use in BLMS</w:t>
            </w:r>
          </w:p>
        </w:tc>
      </w:tr>
      <w:tr>
        <w:tc>
          <w:tcPr>
            <w:tcW w:type="dxa" w:w="720"/>
          </w:tcPr>
          <w:p>
            <w:pPr>
              <w:pStyle w:val="TableText"/>
            </w:pPr>
            <w:r>
              <w:rPr>
                <w:rFonts w:ascii="Calibri" w:hAnsi="Calibri"/>
                <w:color w:val="1F2937"/>
                <w:sz w:val="19"/>
              </w:rPr>
              <w:t>RQ1</w:t>
            </w:r>
          </w:p>
        </w:tc>
        <w:tc>
          <w:tcPr>
            <w:tcW w:type="dxa" w:w="3960"/>
          </w:tcPr>
          <w:p>
            <w:pPr>
              <w:pStyle w:val="TableText"/>
            </w:pPr>
            <w:r>
              <w:rPr>
                <w:rFonts w:ascii="Calibri" w:hAnsi="Calibri"/>
                <w:color w:val="1F2937"/>
                <w:sz w:val="19"/>
              </w:rPr>
              <w:t>What land-administration failures are reported in Nigeria and comparable low-income contexts?</w:t>
            </w:r>
          </w:p>
        </w:tc>
        <w:tc>
          <w:tcPr>
            <w:tcW w:type="dxa" w:w="4680"/>
          </w:tcPr>
          <w:p>
            <w:pPr>
              <w:pStyle w:val="TableText"/>
            </w:pPr>
            <w:r>
              <w:rPr>
                <w:rFonts w:ascii="Calibri" w:hAnsi="Calibri"/>
                <w:color w:val="1F2937"/>
                <w:sz w:val="19"/>
              </w:rPr>
              <w:t>Defines the problem and user requirements.</w:t>
            </w:r>
          </w:p>
        </w:tc>
      </w:tr>
      <w:tr>
        <w:tc>
          <w:tcPr>
            <w:tcW w:type="dxa" w:w="720"/>
          </w:tcPr>
          <w:p>
            <w:pPr>
              <w:pStyle w:val="TableText"/>
            </w:pPr>
            <w:r>
              <w:rPr>
                <w:rFonts w:ascii="Calibri" w:hAnsi="Calibri"/>
                <w:color w:val="1F2937"/>
                <w:sz w:val="19"/>
              </w:rPr>
              <w:t>RQ2</w:t>
            </w:r>
          </w:p>
        </w:tc>
        <w:tc>
          <w:tcPr>
            <w:tcW w:type="dxa" w:w="3960"/>
          </w:tcPr>
          <w:p>
            <w:pPr>
              <w:pStyle w:val="TableText"/>
            </w:pPr>
            <w:r>
              <w:rPr>
                <w:rFonts w:ascii="Calibri" w:hAnsi="Calibri"/>
                <w:color w:val="1F2937"/>
                <w:sz w:val="19"/>
              </w:rPr>
              <w:t>What benefits and limitations are reported for blockchain-enabled land registration?</w:t>
            </w:r>
          </w:p>
        </w:tc>
        <w:tc>
          <w:tcPr>
            <w:tcW w:type="dxa" w:w="4680"/>
          </w:tcPr>
          <w:p>
            <w:pPr>
              <w:pStyle w:val="TableText"/>
            </w:pPr>
            <w:r>
              <w:rPr>
                <w:rFonts w:ascii="Calibri" w:hAnsi="Calibri"/>
                <w:color w:val="1F2937"/>
                <w:sz w:val="19"/>
              </w:rPr>
              <w:t>Tests whether blockchain is justified rather than assumed.</w:t>
            </w:r>
          </w:p>
        </w:tc>
      </w:tr>
      <w:tr>
        <w:tc>
          <w:tcPr>
            <w:tcW w:type="dxa" w:w="720"/>
          </w:tcPr>
          <w:p>
            <w:pPr>
              <w:pStyle w:val="TableText"/>
            </w:pPr>
            <w:r>
              <w:rPr>
                <w:rFonts w:ascii="Calibri" w:hAnsi="Calibri"/>
                <w:color w:val="1F2937"/>
                <w:sz w:val="19"/>
              </w:rPr>
              <w:t>RQ3</w:t>
            </w:r>
          </w:p>
        </w:tc>
        <w:tc>
          <w:tcPr>
            <w:tcW w:type="dxa" w:w="3960"/>
          </w:tcPr>
          <w:p>
            <w:pPr>
              <w:pStyle w:val="TableText"/>
            </w:pPr>
            <w:r>
              <w:rPr>
                <w:rFonts w:ascii="Calibri" w:hAnsi="Calibri"/>
                <w:color w:val="1F2937"/>
                <w:sz w:val="19"/>
              </w:rPr>
              <w:t>Which architectural roles are reported for permissioned blockchains, smart contracts, and content-addressed documents?</w:t>
            </w:r>
          </w:p>
        </w:tc>
        <w:tc>
          <w:tcPr>
            <w:tcW w:type="dxa" w:w="4680"/>
          </w:tcPr>
          <w:p>
            <w:pPr>
              <w:pStyle w:val="TableText"/>
            </w:pPr>
            <w:r>
              <w:rPr>
                <w:rFonts w:ascii="Calibri" w:hAnsi="Calibri"/>
                <w:color w:val="1F2937"/>
                <w:sz w:val="19"/>
              </w:rPr>
              <w:t>Guides the Fabric, Go-chaincode, and document-verification design.</w:t>
            </w:r>
          </w:p>
        </w:tc>
      </w:tr>
      <w:tr>
        <w:tc>
          <w:tcPr>
            <w:tcW w:type="dxa" w:w="720"/>
          </w:tcPr>
          <w:p>
            <w:pPr>
              <w:pStyle w:val="TableText"/>
            </w:pPr>
            <w:r>
              <w:rPr>
                <w:rFonts w:ascii="Calibri" w:hAnsi="Calibri"/>
                <w:color w:val="1F2937"/>
                <w:sz w:val="19"/>
              </w:rPr>
              <w:t>RQ4</w:t>
            </w:r>
          </w:p>
        </w:tc>
        <w:tc>
          <w:tcPr>
            <w:tcW w:type="dxa" w:w="3960"/>
          </w:tcPr>
          <w:p>
            <w:pPr>
              <w:pStyle w:val="TableText"/>
            </w:pPr>
            <w:r>
              <w:rPr>
                <w:rFonts w:ascii="Calibri" w:hAnsi="Calibri"/>
                <w:color w:val="1F2937"/>
                <w:sz w:val="19"/>
              </w:rPr>
              <w:t>What adoption, legal, identity, governance, and infrastructure barriers remain?</w:t>
            </w:r>
          </w:p>
        </w:tc>
        <w:tc>
          <w:tcPr>
            <w:tcW w:type="dxa" w:w="4680"/>
          </w:tcPr>
          <w:p>
            <w:pPr>
              <w:pStyle w:val="TableText"/>
            </w:pPr>
            <w:r>
              <w:rPr>
                <w:rFonts w:ascii="Calibri" w:hAnsi="Calibri"/>
                <w:color w:val="1F2937"/>
                <w:sz w:val="19"/>
              </w:rPr>
              <w:t>Defines non-technical requirements and risk controls.</w:t>
            </w:r>
          </w:p>
        </w:tc>
      </w:tr>
      <w:tr>
        <w:tc>
          <w:tcPr>
            <w:tcW w:type="dxa" w:w="720"/>
          </w:tcPr>
          <w:p>
            <w:pPr>
              <w:pStyle w:val="TableText"/>
            </w:pPr>
            <w:r>
              <w:rPr>
                <w:rFonts w:ascii="Calibri" w:hAnsi="Calibri"/>
                <w:color w:val="1F2937"/>
                <w:sz w:val="19"/>
              </w:rPr>
              <w:t>RQ5</w:t>
            </w:r>
          </w:p>
        </w:tc>
        <w:tc>
          <w:tcPr>
            <w:tcW w:type="dxa" w:w="3960"/>
          </w:tcPr>
          <w:p>
            <w:pPr>
              <w:pStyle w:val="TableText"/>
            </w:pPr>
            <w:r>
              <w:rPr>
                <w:rFonts w:ascii="Calibri" w:hAnsi="Calibri"/>
                <w:color w:val="1F2937"/>
                <w:sz w:val="19"/>
              </w:rPr>
              <w:t>What evidence gaps must be addressed by the BLMS implementation and its evaluation?</w:t>
            </w:r>
          </w:p>
        </w:tc>
        <w:tc>
          <w:tcPr>
            <w:tcW w:type="dxa" w:w="4680"/>
          </w:tcPr>
          <w:p>
            <w:pPr>
              <w:pStyle w:val="TableText"/>
            </w:pPr>
            <w:r>
              <w:rPr>
                <w:rFonts w:ascii="Calibri" w:hAnsi="Calibri"/>
                <w:color w:val="1F2937"/>
                <w:sz w:val="19"/>
              </w:rPr>
              <w:t>Separates implemented evidence from future research claims.</w:t>
            </w:r>
          </w:p>
        </w:tc>
      </w:tr>
    </w:tbl>
    <w:p>
      <w:pPr>
        <w:spacing w:after="0"/>
      </w:pPr>
    </w:p>
    <w:p>
      <w:pPr>
        <w:pStyle w:val="Heading2"/>
      </w:pPr>
      <w:r>
        <w:t>2.2 Search strategy</w:t>
      </w:r>
    </w:p>
    <w:p>
      <w:r>
        <w:rPr>
          <w:rFonts w:ascii="Calibri" w:hAnsi="Calibri"/>
          <w:i w:val="0"/>
        </w:rPr>
        <w:t>Searches were conducted on 18 July 2026. Discovery routes were publisher pages, DOI records, institutional repositories, and scholarly web indexes. The date, search expressions, inclusion rules, and source list are retained below to make the process auditable. A future dissertation version should repeat these strings in the university's subscribed databases and record the returned counts before claiming an exhaustive PRISMA flow.</w:t>
      </w:r>
    </w:p>
    <w:tbl>
      <w:tblPr>
        <w:tblStyle w:val="TableGrid"/>
        <w:tblW w:type="dxa" w:w="9360"/>
        <w:jc w:val="left"/>
        <w:tblLayout w:type="fixed"/>
        <w:tblLook w:firstColumn="1" w:firstRow="1" w:lastColumn="0" w:lastRow="0" w:noHBand="0" w:noVBand="1" w:val="04A0"/>
        <w:tblInd w:w="120" w:type="dxa"/>
      </w:tblPr>
      <w:tblGrid>
        <w:gridCol w:w="2520"/>
        <w:gridCol w:w="6840"/>
      </w:tblGrid>
      <w:tr>
        <w:trPr>
          <w:tblHeader w:val="true"/>
        </w:trPr>
        <w:tc>
          <w:tcPr>
            <w:tcW w:type="dxa" w:w="2520"/>
            <w:vAlign w:val="center"/>
            <w:tcMar>
              <w:top w:w="80" w:type="dxa"/>
              <w:bottom w:w="80" w:type="dxa"/>
              <w:start w:w="120" w:type="dxa"/>
              <w:end w:w="120" w:type="dxa"/>
            </w:tcMar>
            <w:shd w:fill="E8EEF5"/>
          </w:tcPr>
          <w:p>
            <w:pPr>
              <w:pStyle w:val="TableText"/>
            </w:pPr>
            <w:r>
              <w:rPr>
                <w:rFonts w:ascii="Calibri" w:hAnsi="Calibri"/>
                <w:b/>
                <w:color w:val="1F4D78"/>
                <w:sz w:val="19"/>
              </w:rPr>
              <w:t>Concept</w:t>
            </w:r>
          </w:p>
        </w:tc>
        <w:tc>
          <w:tcPr>
            <w:tcW w:type="dxa" w:w="6840"/>
            <w:vAlign w:val="center"/>
            <w:tcMar>
              <w:top w:w="80" w:type="dxa"/>
              <w:bottom w:w="80" w:type="dxa"/>
              <w:start w:w="120" w:type="dxa"/>
              <w:end w:w="120" w:type="dxa"/>
            </w:tcMar>
            <w:shd w:fill="E8EEF5"/>
          </w:tcPr>
          <w:p>
            <w:pPr>
              <w:pStyle w:val="TableText"/>
            </w:pPr>
            <w:r>
              <w:rPr>
                <w:rFonts w:ascii="Calibri" w:hAnsi="Calibri"/>
                <w:b/>
                <w:color w:val="1F4D78"/>
                <w:sz w:val="19"/>
              </w:rPr>
              <w:t>Representative search expression</w:t>
            </w:r>
          </w:p>
        </w:tc>
      </w:tr>
      <w:tr>
        <w:tc>
          <w:tcPr>
            <w:tcW w:type="dxa" w:w="2520"/>
          </w:tcPr>
          <w:p>
            <w:pPr>
              <w:pStyle w:val="TableText"/>
            </w:pPr>
            <w:r>
              <w:rPr>
                <w:rFonts w:ascii="Calibri" w:hAnsi="Calibri"/>
                <w:color w:val="1F2937"/>
                <w:sz w:val="19"/>
              </w:rPr>
              <w:t>Land and blockchain</w:t>
            </w:r>
          </w:p>
        </w:tc>
        <w:tc>
          <w:tcPr>
            <w:tcW w:type="dxa" w:w="6840"/>
          </w:tcPr>
          <w:p>
            <w:pPr>
              <w:pStyle w:val="TableText"/>
            </w:pPr>
            <w:r>
              <w:rPr>
                <w:rFonts w:ascii="Calibri" w:hAnsi="Calibri"/>
                <w:color w:val="1F2937"/>
                <w:sz w:val="19"/>
              </w:rPr>
              <w:t>("land registration" OR "land registry" OR cadastre OR "land administration") AND (blockchain OR "distributed ledger")</w:t>
            </w:r>
          </w:p>
        </w:tc>
      </w:tr>
      <w:tr>
        <w:tc>
          <w:tcPr>
            <w:tcW w:type="dxa" w:w="2520"/>
          </w:tcPr>
          <w:p>
            <w:pPr>
              <w:pStyle w:val="TableText"/>
            </w:pPr>
            <w:r>
              <w:rPr>
                <w:rFonts w:ascii="Calibri" w:hAnsi="Calibri"/>
                <w:color w:val="1F2937"/>
                <w:sz w:val="19"/>
              </w:rPr>
              <w:t>Architecture</w:t>
            </w:r>
          </w:p>
        </w:tc>
        <w:tc>
          <w:tcPr>
            <w:tcW w:type="dxa" w:w="6840"/>
          </w:tcPr>
          <w:p>
            <w:pPr>
              <w:pStyle w:val="TableText"/>
            </w:pPr>
            <w:r>
              <w:rPr>
                <w:rFonts w:ascii="Calibri" w:hAnsi="Calibri"/>
                <w:color w:val="1F2937"/>
                <w:sz w:val="19"/>
              </w:rPr>
              <w:t>("land registration" OR "property registration") AND ("Hyperledger Fabric" OR permissioned OR "smart contract")</w:t>
            </w:r>
          </w:p>
        </w:tc>
      </w:tr>
      <w:tr>
        <w:tc>
          <w:tcPr>
            <w:tcW w:type="dxa" w:w="2520"/>
          </w:tcPr>
          <w:p>
            <w:pPr>
              <w:pStyle w:val="TableText"/>
            </w:pPr>
            <w:r>
              <w:rPr>
                <w:rFonts w:ascii="Calibri" w:hAnsi="Calibri"/>
                <w:color w:val="1F2937"/>
                <w:sz w:val="19"/>
              </w:rPr>
              <w:t>Documents</w:t>
            </w:r>
          </w:p>
        </w:tc>
        <w:tc>
          <w:tcPr>
            <w:tcW w:type="dxa" w:w="6840"/>
          </w:tcPr>
          <w:p>
            <w:pPr>
              <w:pStyle w:val="TableText"/>
            </w:pPr>
            <w:r>
              <w:rPr>
                <w:rFonts w:ascii="Calibri" w:hAnsi="Calibri"/>
                <w:color w:val="1F2937"/>
                <w:sz w:val="19"/>
              </w:rPr>
              <w:t>("land registry" OR "property title") AND (IPFS OR "content addressed" OR "document integrity")</w:t>
            </w:r>
          </w:p>
        </w:tc>
      </w:tr>
      <w:tr>
        <w:tc>
          <w:tcPr>
            <w:tcW w:type="dxa" w:w="2520"/>
          </w:tcPr>
          <w:p>
            <w:pPr>
              <w:pStyle w:val="TableText"/>
            </w:pPr>
            <w:r>
              <w:rPr>
                <w:rFonts w:ascii="Calibri" w:hAnsi="Calibri"/>
                <w:color w:val="1F2937"/>
                <w:sz w:val="19"/>
              </w:rPr>
              <w:t>Nigeria focus</w:t>
            </w:r>
          </w:p>
        </w:tc>
        <w:tc>
          <w:tcPr>
            <w:tcW w:type="dxa" w:w="6840"/>
          </w:tcPr>
          <w:p>
            <w:pPr>
              <w:pStyle w:val="TableText"/>
            </w:pPr>
            <w:r>
              <w:rPr>
                <w:rFonts w:ascii="Calibri" w:hAnsi="Calibri"/>
                <w:color w:val="1F2937"/>
                <w:sz w:val="19"/>
              </w:rPr>
              <w:t>(Nigeria OR "Global South" OR "low-income countries") AND ("land administration" OR "land title") AND blockchain</w:t>
            </w:r>
          </w:p>
        </w:tc>
      </w:tr>
    </w:tbl>
    <w:p>
      <w:pPr>
        <w:spacing w:after="0"/>
      </w:pPr>
    </w:p>
    <w:p>
      <w:pPr>
        <w:pStyle w:val="Heading2"/>
      </w:pPr>
      <w:r>
        <w:t>2.3 Eligibility and quality appraisal</w:t>
      </w:r>
    </w:p>
    <w:tbl>
      <w:tblPr>
        <w:tblStyle w:val="TableGrid"/>
        <w:tblW w:type="dxa" w:w="9360"/>
        <w:jc w:val="left"/>
        <w:tblLayout w:type="fixed"/>
        <w:tblLook w:firstColumn="1" w:firstRow="1" w:lastColumn="0" w:lastRow="0" w:noHBand="0" w:noVBand="1" w:val="04A0"/>
        <w:tblInd w:w="120" w:type="dxa"/>
      </w:tblPr>
      <w:tblGrid>
        <w:gridCol w:w="2160"/>
        <w:gridCol w:w="7200"/>
      </w:tblGrid>
      <w:tr>
        <w:trPr>
          <w:tblHeader w:val="true"/>
        </w:trPr>
        <w:tc>
          <w:tcPr>
            <w:tcW w:type="dxa" w:w="2160"/>
            <w:vAlign w:val="center"/>
            <w:tcMar>
              <w:top w:w="80" w:type="dxa"/>
              <w:bottom w:w="80" w:type="dxa"/>
              <w:start w:w="120" w:type="dxa"/>
              <w:end w:w="120" w:type="dxa"/>
            </w:tcMar>
            <w:shd w:fill="E8EEF5"/>
          </w:tcPr>
          <w:p>
            <w:pPr>
              <w:pStyle w:val="TableText"/>
            </w:pPr>
            <w:r>
              <w:rPr>
                <w:rFonts w:ascii="Calibri" w:hAnsi="Calibri"/>
                <w:b/>
                <w:color w:val="1F4D78"/>
                <w:sz w:val="19"/>
              </w:rPr>
              <w:t>Criterion</w:t>
            </w:r>
          </w:p>
        </w:tc>
        <w:tc>
          <w:tcPr>
            <w:tcW w:type="dxa" w:w="7200"/>
            <w:vAlign w:val="center"/>
            <w:tcMar>
              <w:top w:w="80" w:type="dxa"/>
              <w:bottom w:w="80" w:type="dxa"/>
              <w:start w:w="120" w:type="dxa"/>
              <w:end w:w="120" w:type="dxa"/>
            </w:tcMar>
            <w:shd w:fill="E8EEF5"/>
          </w:tcPr>
          <w:p>
            <w:pPr>
              <w:pStyle w:val="TableText"/>
            </w:pPr>
            <w:r>
              <w:rPr>
                <w:rFonts w:ascii="Calibri" w:hAnsi="Calibri"/>
                <w:b/>
                <w:color w:val="1F4D78"/>
                <w:sz w:val="19"/>
              </w:rPr>
              <w:t>Decision rule</w:t>
            </w:r>
          </w:p>
        </w:tc>
      </w:tr>
      <w:tr>
        <w:tc>
          <w:tcPr>
            <w:tcW w:type="dxa" w:w="2160"/>
          </w:tcPr>
          <w:p>
            <w:pPr>
              <w:pStyle w:val="TableText"/>
            </w:pPr>
            <w:r>
              <w:rPr>
                <w:rFonts w:ascii="Calibri" w:hAnsi="Calibri"/>
                <w:color w:val="1F2937"/>
                <w:sz w:val="19"/>
              </w:rPr>
              <w:t>Time and language</w:t>
            </w:r>
          </w:p>
        </w:tc>
        <w:tc>
          <w:tcPr>
            <w:tcW w:type="dxa" w:w="7200"/>
          </w:tcPr>
          <w:p>
            <w:pPr>
              <w:pStyle w:val="TableText"/>
            </w:pPr>
            <w:r>
              <w:rPr>
                <w:rFonts w:ascii="Calibri" w:hAnsi="Calibri"/>
                <w:color w:val="1F2937"/>
                <w:sz w:val="19"/>
              </w:rPr>
              <w:t>English-language scholarly sources published from 2018 to 18 July 2026; foundational Fabric and review-method sources retained where directly relevant.</w:t>
            </w:r>
          </w:p>
        </w:tc>
      </w:tr>
      <w:tr>
        <w:tc>
          <w:tcPr>
            <w:tcW w:type="dxa" w:w="2160"/>
          </w:tcPr>
          <w:p>
            <w:pPr>
              <w:pStyle w:val="TableText"/>
            </w:pPr>
            <w:r>
              <w:rPr>
                <w:rFonts w:ascii="Calibri" w:hAnsi="Calibri"/>
                <w:color w:val="1F2937"/>
                <w:sz w:val="19"/>
              </w:rPr>
              <w:t>Topical relevance</w:t>
            </w:r>
          </w:p>
        </w:tc>
        <w:tc>
          <w:tcPr>
            <w:tcW w:type="dxa" w:w="7200"/>
          </w:tcPr>
          <w:p>
            <w:pPr>
              <w:pStyle w:val="TableText"/>
            </w:pPr>
            <w:r>
              <w:rPr>
                <w:rFonts w:ascii="Calibri" w:hAnsi="Calibri"/>
                <w:color w:val="1F2937"/>
                <w:sz w:val="19"/>
              </w:rPr>
              <w:t>Must address land registration/administration, blockchain or a directly relevant architecture, or Nigeria/Global-South land-administration constraints.</w:t>
            </w:r>
          </w:p>
        </w:tc>
      </w:tr>
      <w:tr>
        <w:tc>
          <w:tcPr>
            <w:tcW w:type="dxa" w:w="2160"/>
          </w:tcPr>
          <w:p>
            <w:pPr>
              <w:pStyle w:val="TableText"/>
            </w:pPr>
            <w:r>
              <w:rPr>
                <w:rFonts w:ascii="Calibri" w:hAnsi="Calibri"/>
                <w:color w:val="1F2937"/>
                <w:sz w:val="19"/>
              </w:rPr>
              <w:t>Evidence quality</w:t>
            </w:r>
          </w:p>
        </w:tc>
        <w:tc>
          <w:tcPr>
            <w:tcW w:type="dxa" w:w="7200"/>
          </w:tcPr>
          <w:p>
            <w:pPr>
              <w:pStyle w:val="TableText"/>
            </w:pPr>
            <w:r>
              <w:rPr>
                <w:rFonts w:ascii="Calibri" w:hAnsi="Calibri"/>
                <w:color w:val="1F2937"/>
                <w:sz w:val="19"/>
              </w:rPr>
              <w:t>Peer-reviewed articles, recognised conference papers, authoritative method guidance, and institutional repositories. Blog posts and unverifiable claims were excluded.</w:t>
            </w:r>
          </w:p>
        </w:tc>
      </w:tr>
      <w:tr>
        <w:tc>
          <w:tcPr>
            <w:tcW w:type="dxa" w:w="2160"/>
          </w:tcPr>
          <w:p>
            <w:pPr>
              <w:pStyle w:val="TableText"/>
            </w:pPr>
            <w:r>
              <w:rPr>
                <w:rFonts w:ascii="Calibri" w:hAnsi="Calibri"/>
                <w:color w:val="1F2937"/>
                <w:sz w:val="19"/>
              </w:rPr>
              <w:t>Exclusions</w:t>
            </w:r>
          </w:p>
        </w:tc>
        <w:tc>
          <w:tcPr>
            <w:tcW w:type="dxa" w:w="7200"/>
          </w:tcPr>
          <w:p>
            <w:pPr>
              <w:pStyle w:val="TableText"/>
            </w:pPr>
            <w:r>
              <w:rPr>
                <w:rFonts w:ascii="Calibri" w:hAnsi="Calibri"/>
                <w:color w:val="1F2937"/>
                <w:sz w:val="19"/>
              </w:rPr>
              <w:t>Cryptocurrency-only studies, studies without a land-registration connection, duplicate records, and claims without identifiable authorship or publication details.</w:t>
            </w:r>
          </w:p>
        </w:tc>
      </w:tr>
      <w:tr>
        <w:tc>
          <w:tcPr>
            <w:tcW w:type="dxa" w:w="2160"/>
          </w:tcPr>
          <w:p>
            <w:pPr>
              <w:pStyle w:val="TableText"/>
            </w:pPr>
            <w:r>
              <w:rPr>
                <w:rFonts w:ascii="Calibri" w:hAnsi="Calibri"/>
                <w:color w:val="1F2937"/>
                <w:sz w:val="19"/>
              </w:rPr>
              <w:t>Appraisal questions</w:t>
            </w:r>
          </w:p>
        </w:tc>
        <w:tc>
          <w:tcPr>
            <w:tcW w:type="dxa" w:w="7200"/>
          </w:tcPr>
          <w:p>
            <w:pPr>
              <w:pStyle w:val="TableText"/>
            </w:pPr>
            <w:r>
              <w:rPr>
                <w:rFonts w:ascii="Calibri" w:hAnsi="Calibri"/>
                <w:color w:val="1F2937"/>
                <w:sz w:val="19"/>
              </w:rPr>
              <w:t>Is the context clear? Is the method or architecture described? Are limitations stated? Is the source traceable through a DOI, publisher, or institutional record?</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bottom w:w="80" w:type="dxa"/>
              <w:start w:w="120" w:type="dxa"/>
              <w:end w:w="120" w:type="dxa"/>
            </w:tcMar>
            <w:shd w:fill="F4F6F9"/>
          </w:tcPr>
          <w:p>
            <w:pPr>
              <w:spacing w:after="0"/>
            </w:pPr>
            <w:r>
              <w:rPr>
                <w:rFonts w:ascii="Calibri" w:hAnsi="Calibri"/>
                <w:b/>
                <w:color w:val="1F4D78"/>
                <w:sz w:val="21"/>
              </w:rPr>
              <w:t xml:space="preserve">Transparency note. </w:t>
            </w:r>
            <w:r>
              <w:rPr>
                <w:rFonts w:ascii="Calibri" w:hAnsi="Calibri"/>
                <w:color w:val="1F2937"/>
                <w:sz w:val="21"/>
              </w:rPr>
              <w:t>The review is systematic in protocol and traceability, but it is not represented as a database-exhaustive meta-analysis. No unverified record counts, effect sizes, or PRISMA totals are reported.</w:t>
            </w:r>
          </w:p>
        </w:tc>
      </w:tr>
    </w:tbl>
    <w:p>
      <w:pPr>
        <w:spacing w:after="0"/>
      </w:pPr>
    </w:p>
    <w:p>
      <w:pPr>
        <w:pStyle w:val="Heading1"/>
      </w:pPr>
      <w:r>
        <w:t>3. Results: problem domain</w:t>
      </w:r>
    </w:p>
    <w:p>
      <w:pPr>
        <w:pStyle w:val="Heading2"/>
      </w:pPr>
      <w:r>
        <w:t>3.1 Record integrity, verification, and transaction risk</w:t>
      </w:r>
    </w:p>
    <w:p>
      <w:r>
        <w:rPr>
          <w:rFonts w:ascii="Calibri" w:hAnsi="Calibri"/>
          <w:i w:val="0"/>
        </w:rPr>
        <w:t>Nigeria-focused reviews identify delay, opacity, inadequate technical infrastructure, unclear procedures, high transaction costs, limited skills, weak record management, and opportunities for multiple sales or unauthorised alteration as recurring concerns. The practical consequence is that a purchaser or agency must repeatedly verify whether a parcel, title, seller, supporting document, and payment instruction can be trusted. These are workflow and governance problems as much as database problems.</w:t>
      </w:r>
    </w:p>
    <w:p>
      <w:pPr>
        <w:pStyle w:val="Heading2"/>
      </w:pPr>
      <w:r>
        <w:t>3.2 Fragmented authority and institutional coordination</w:t>
      </w:r>
    </w:p>
    <w:p>
      <w:r>
        <w:rPr>
          <w:rFonts w:ascii="Calibri" w:hAnsi="Calibri"/>
          <w:i w:val="0"/>
        </w:rPr>
        <w:t>Land rights derive from law and administrative decisions. A digital ledger cannot itself validate a defective survey, settle a dispute, or replace statutory approval. The literature therefore cautions against treating decentralisation as a cure for poor source data. Its more defensible role is to give authorised participants a shared, tamper-evident transaction history while preserving the authority of land agencies and adjudication processes.</w:t>
      </w:r>
    </w:p>
    <w:p>
      <w:pPr>
        <w:pStyle w:val="Heading2"/>
      </w:pPr>
      <w:r>
        <w:t>3.3 Trust and inclusion</w:t>
      </w:r>
    </w:p>
    <w:p>
      <w:r>
        <w:rPr>
          <w:rFonts w:ascii="Calibri" w:hAnsi="Calibri"/>
          <w:i w:val="0"/>
        </w:rPr>
        <w:t>Trustworthy registration also depends on accessible procedures, identity assurance, privacy, support for citizens who have limited digital access, and institutional legitimacy. The studies on low-income countries report that government resistance, skills, regulation, and infrastructure can constrain real deployment even when the technical concept is appealing. This shifts the BLMS emphasis from a generic 'blockchain solution' to a staged socio-technical system.</w:t>
      </w:r>
    </w:p>
    <w:p>
      <w:pPr>
        <w:pStyle w:val="Heading1"/>
      </w:pPr>
      <w:r>
        <w:t>4. Results: solution domain</w:t>
      </w:r>
    </w:p>
    <w:p>
      <w:pPr>
        <w:pStyle w:val="Heading2"/>
      </w:pPr>
      <w:r>
        <w:t>4.1 Permissioned blockchain and Hyperledger Fabric</w:t>
      </w:r>
    </w:p>
    <w:p>
      <w:r>
        <w:rPr>
          <w:rFonts w:ascii="Calibri" w:hAnsi="Calibri"/>
          <w:i w:val="0"/>
        </w:rPr>
        <w:t>Hyperledger Fabric is a permissioned distributed-ledger architecture designed around identifiable organisations, policies, and modular components. For a land-management setting, these characteristics can support a two-organisation model in which citizen-facing and government roles are represented separately, while endorsement policies determine whose approval is required for sensitive changes. Fabric is therefore more aligned with administrative accountability than an unrestricted public chain. Nevertheless, Fabric does not remove the need for operating governance, key management, network administration, and legal rules.</w:t>
      </w:r>
    </w:p>
    <w:p>
      <w:pPr>
        <w:pStyle w:val="Heading2"/>
      </w:pPr>
      <w:r>
        <w:t>4.2 Smart contracts and Go chaincode</w:t>
      </w:r>
    </w:p>
    <w:p>
      <w:r>
        <w:rPr>
          <w:rFonts w:ascii="Calibri" w:hAnsi="Calibri"/>
          <w:i w:val="0"/>
        </w:rPr>
        <w:t>Land workflows can be expressed as controlled state transitions: register a parcel, reject duplicate identifiers, attach or update evidence, list a property, record an approved transfer, update a levy, and preserve history. Chaincode or smart contracts provide a place to apply these preconditions consistently. Their value is deterministic enforcement and auditable history; they must not be described as automatic legal conveyance unless the relevant law and agency processes explicitly make them so.</w:t>
      </w:r>
    </w:p>
    <w:p>
      <w:pPr>
        <w:pStyle w:val="Heading2"/>
      </w:pPr>
      <w:r>
        <w:t>4.3 Content-addressed document verification</w:t>
      </w:r>
    </w:p>
    <w:p>
      <w:r>
        <w:rPr>
          <w:rFonts w:ascii="Calibri" w:hAnsi="Calibri"/>
          <w:i w:val="0"/>
        </w:rPr>
        <w:t>A document-integrity design computes a cryptographic digest from an uploaded title or supporting document and records the resulting content identifier. Recomputing the identifier later allows a MATCH or MISMATCH result, making changes to the file detectable. This can improve evidential traceability while avoiding storage of large documents directly on the ledger. IPFS is one possible content-addressed storage network; in the current BLMS local prototype the same integrity idea is demonstrated entirely in the browser, without claiming a live IPFS service.</w:t>
      </w:r>
    </w:p>
    <w:p>
      <w:pPr>
        <w:pStyle w:val="Heading2"/>
      </w:pPr>
      <w:r>
        <w:t>4.4 Identity, privacy, and governance</w:t>
      </w:r>
    </w:p>
    <w:p>
      <w:r>
        <w:rPr>
          <w:rFonts w:ascii="Calibri" w:hAnsi="Calibri"/>
          <w:i w:val="0"/>
        </w:rPr>
        <w:t>Identity links real-world people to digital actions, but it also creates privacy and security obligations. The literature favours careful identity integration, role separation, data minimisation, consent, and auditability. In the BLMS project, NIN behaviour is synthetic only. Live National Identity Management Commission integration is not implemented and must not be inferred from a prototype login or test record.</w:t>
      </w:r>
    </w:p>
    <w:p>
      <w:pPr>
        <w:pStyle w:val="Heading1"/>
      </w:pPr>
      <w:r>
        <w:t>5. Synthesis and implications for BLMS</w:t>
      </w:r>
    </w:p>
    <w:tbl>
      <w:tblPr>
        <w:tblStyle w:val="TableGrid"/>
        <w:tblW w:type="dxa" w:w="9360"/>
        <w:jc w:val="left"/>
        <w:tblLayout w:type="fixed"/>
        <w:tblLook w:firstColumn="1" w:firstRow="1" w:lastColumn="0" w:lastRow="0" w:noHBand="0" w:noVBand="1" w:val="04A0"/>
        <w:tblInd w:w="120" w:type="dxa"/>
      </w:tblPr>
      <w:tblGrid>
        <w:gridCol w:w="2340"/>
        <w:gridCol w:w="3900"/>
        <w:gridCol w:w="3120"/>
      </w:tblGrid>
      <w:tr>
        <w:trPr>
          <w:tblHeader w:val="true"/>
        </w:trPr>
        <w:tc>
          <w:tcPr>
            <w:tcW w:type="dxa" w:w="2340"/>
            <w:vAlign w:val="center"/>
            <w:tcMar>
              <w:top w:w="80" w:type="dxa"/>
              <w:bottom w:w="80" w:type="dxa"/>
              <w:start w:w="120" w:type="dxa"/>
              <w:end w:w="120" w:type="dxa"/>
            </w:tcMar>
            <w:shd w:fill="E8EEF5"/>
          </w:tcPr>
          <w:p>
            <w:pPr>
              <w:pStyle w:val="TableText"/>
            </w:pPr>
            <w:r>
              <w:rPr>
                <w:rFonts w:ascii="Calibri" w:hAnsi="Calibri"/>
                <w:b/>
                <w:color w:val="1F4D78"/>
                <w:sz w:val="19"/>
              </w:rPr>
              <w:t>Evidence theme</w:t>
            </w:r>
          </w:p>
        </w:tc>
        <w:tc>
          <w:tcPr>
            <w:tcW w:type="dxa" w:w="3900"/>
            <w:vAlign w:val="center"/>
            <w:tcMar>
              <w:top w:w="80" w:type="dxa"/>
              <w:bottom w:w="80" w:type="dxa"/>
              <w:start w:w="120" w:type="dxa"/>
              <w:end w:w="120" w:type="dxa"/>
            </w:tcMar>
            <w:shd w:fill="E8EEF5"/>
          </w:tcPr>
          <w:p>
            <w:pPr>
              <w:pStyle w:val="TableText"/>
            </w:pPr>
            <w:r>
              <w:rPr>
                <w:rFonts w:ascii="Calibri" w:hAnsi="Calibri"/>
                <w:b/>
                <w:color w:val="1F4D78"/>
                <w:sz w:val="19"/>
              </w:rPr>
              <w:t>Design implication</w:t>
            </w:r>
          </w:p>
        </w:tc>
        <w:tc>
          <w:tcPr>
            <w:tcW w:type="dxa" w:w="3120"/>
            <w:vAlign w:val="center"/>
            <w:tcMar>
              <w:top w:w="80" w:type="dxa"/>
              <w:bottom w:w="80" w:type="dxa"/>
              <w:start w:w="120" w:type="dxa"/>
              <w:end w:w="120" w:type="dxa"/>
            </w:tcMar>
            <w:shd w:fill="E8EEF5"/>
          </w:tcPr>
          <w:p>
            <w:pPr>
              <w:pStyle w:val="TableText"/>
            </w:pPr>
            <w:r>
              <w:rPr>
                <w:rFonts w:ascii="Calibri" w:hAnsi="Calibri"/>
                <w:b/>
                <w:color w:val="1F4D78"/>
                <w:sz w:val="19"/>
              </w:rPr>
              <w:t>Current BLMS position</w:t>
            </w:r>
          </w:p>
        </w:tc>
      </w:tr>
      <w:tr>
        <w:tc>
          <w:tcPr>
            <w:tcW w:type="dxa" w:w="2340"/>
          </w:tcPr>
          <w:p>
            <w:pPr>
              <w:pStyle w:val="TableText"/>
            </w:pPr>
            <w:r>
              <w:rPr>
                <w:rFonts w:ascii="Calibri" w:hAnsi="Calibri"/>
                <w:color w:val="1F2937"/>
                <w:sz w:val="19"/>
              </w:rPr>
              <w:t>Duplicate and opaque records</w:t>
            </w:r>
          </w:p>
        </w:tc>
        <w:tc>
          <w:tcPr>
            <w:tcW w:type="dxa" w:w="3900"/>
          </w:tcPr>
          <w:p>
            <w:pPr>
              <w:pStyle w:val="TableText"/>
            </w:pPr>
            <w:r>
              <w:rPr>
                <w:rFonts w:ascii="Calibri" w:hAnsi="Calibri"/>
                <w:color w:val="1F2937"/>
                <w:sz w:val="19"/>
              </w:rPr>
              <w:t>Use unique parcel/title rules, role checks, auditable events, and clear history.</w:t>
            </w:r>
          </w:p>
        </w:tc>
        <w:tc>
          <w:tcPr>
            <w:tcW w:type="dxa" w:w="3120"/>
          </w:tcPr>
          <w:p>
            <w:pPr>
              <w:pStyle w:val="TableText"/>
            </w:pPr>
            <w:r>
              <w:rPr>
                <w:rFonts w:ascii="Calibri" w:hAnsi="Calibri"/>
                <w:color w:val="1F2937"/>
                <w:sz w:val="19"/>
              </w:rPr>
              <w:t>Implemented locally in the browser adapter and optional API mock ledger.</w:t>
            </w:r>
          </w:p>
        </w:tc>
      </w:tr>
      <w:tr>
        <w:tc>
          <w:tcPr>
            <w:tcW w:type="dxa" w:w="2340"/>
          </w:tcPr>
          <w:p>
            <w:pPr>
              <w:pStyle w:val="TableText"/>
            </w:pPr>
            <w:r>
              <w:rPr>
                <w:rFonts w:ascii="Calibri" w:hAnsi="Calibri"/>
                <w:color w:val="1F2937"/>
                <w:sz w:val="19"/>
              </w:rPr>
              <w:t>Document tampering concern</w:t>
            </w:r>
          </w:p>
        </w:tc>
        <w:tc>
          <w:tcPr>
            <w:tcW w:type="dxa" w:w="3900"/>
          </w:tcPr>
          <w:p>
            <w:pPr>
              <w:pStyle w:val="TableText"/>
            </w:pPr>
            <w:r>
              <w:rPr>
                <w:rFonts w:ascii="Calibri" w:hAnsi="Calibri"/>
                <w:color w:val="1F2937"/>
                <w:sz w:val="19"/>
              </w:rPr>
              <w:t>Use content hashing and compare candidate files against the recorded identifier.</w:t>
            </w:r>
          </w:p>
        </w:tc>
        <w:tc>
          <w:tcPr>
            <w:tcW w:type="dxa" w:w="3120"/>
          </w:tcPr>
          <w:p>
            <w:pPr>
              <w:pStyle w:val="TableText"/>
            </w:pPr>
            <w:r>
              <w:rPr>
                <w:rFonts w:ascii="Calibri" w:hAnsi="Calibri"/>
                <w:color w:val="1F2937"/>
                <w:sz w:val="19"/>
              </w:rPr>
              <w:t>Implemented locally; no live IPFS node is claimed.</w:t>
            </w:r>
          </w:p>
        </w:tc>
      </w:tr>
      <w:tr>
        <w:tc>
          <w:tcPr>
            <w:tcW w:type="dxa" w:w="2340"/>
          </w:tcPr>
          <w:p>
            <w:pPr>
              <w:pStyle w:val="TableText"/>
            </w:pPr>
            <w:r>
              <w:rPr>
                <w:rFonts w:ascii="Calibri" w:hAnsi="Calibri"/>
                <w:color w:val="1F2937"/>
                <w:sz w:val="19"/>
              </w:rPr>
              <w:t>Institutional accountability</w:t>
            </w:r>
          </w:p>
        </w:tc>
        <w:tc>
          <w:tcPr>
            <w:tcW w:type="dxa" w:w="3900"/>
          </w:tcPr>
          <w:p>
            <w:pPr>
              <w:pStyle w:val="TableText"/>
            </w:pPr>
            <w:r>
              <w:rPr>
                <w:rFonts w:ascii="Calibri" w:hAnsi="Calibri"/>
                <w:color w:val="1F2937"/>
                <w:sz w:val="19"/>
              </w:rPr>
              <w:t>Use roles, approval rules, and a permissioned-network design for the Fabric research track.</w:t>
            </w:r>
          </w:p>
        </w:tc>
        <w:tc>
          <w:tcPr>
            <w:tcW w:type="dxa" w:w="3120"/>
          </w:tcPr>
          <w:p>
            <w:pPr>
              <w:pStyle w:val="TableText"/>
            </w:pPr>
            <w:r>
              <w:rPr>
                <w:rFonts w:ascii="Calibri" w:hAnsi="Calibri"/>
                <w:color w:val="1F2937"/>
                <w:sz w:val="19"/>
              </w:rPr>
              <w:t>Go chaincode source exists; a Fabric network and Gateway integration remain future work.</w:t>
            </w:r>
          </w:p>
        </w:tc>
      </w:tr>
      <w:tr>
        <w:tc>
          <w:tcPr>
            <w:tcW w:type="dxa" w:w="2340"/>
          </w:tcPr>
          <w:p>
            <w:pPr>
              <w:pStyle w:val="TableText"/>
            </w:pPr>
            <w:r>
              <w:rPr>
                <w:rFonts w:ascii="Calibri" w:hAnsi="Calibri"/>
                <w:color w:val="1F2937"/>
                <w:sz w:val="19"/>
              </w:rPr>
              <w:t>Adoption and legal barriers</w:t>
            </w:r>
          </w:p>
        </w:tc>
        <w:tc>
          <w:tcPr>
            <w:tcW w:type="dxa" w:w="3900"/>
          </w:tcPr>
          <w:p>
            <w:pPr>
              <w:pStyle w:val="TableText"/>
            </w:pPr>
            <w:r>
              <w:rPr>
                <w:rFonts w:ascii="Calibri" w:hAnsi="Calibri"/>
                <w:color w:val="1F2937"/>
                <w:sz w:val="19"/>
              </w:rPr>
              <w:t>Treat law, agency workflow, identity governance, training, and infrastructure as first-class requirements.</w:t>
            </w:r>
          </w:p>
        </w:tc>
        <w:tc>
          <w:tcPr>
            <w:tcW w:type="dxa" w:w="3120"/>
          </w:tcPr>
          <w:p>
            <w:pPr>
              <w:pStyle w:val="TableText"/>
            </w:pPr>
            <w:r>
              <w:rPr>
                <w:rFonts w:ascii="Calibri" w:hAnsi="Calibri"/>
                <w:color w:val="1F2937"/>
                <w:sz w:val="19"/>
              </w:rPr>
              <w:t>Documented as constraints; not solved by the prototype.</w:t>
            </w:r>
          </w:p>
        </w:tc>
      </w:tr>
      <w:tr>
        <w:tc>
          <w:tcPr>
            <w:tcW w:type="dxa" w:w="2340"/>
          </w:tcPr>
          <w:p>
            <w:pPr>
              <w:pStyle w:val="TableText"/>
            </w:pPr>
            <w:r>
              <w:rPr>
                <w:rFonts w:ascii="Calibri" w:hAnsi="Calibri"/>
                <w:color w:val="1F2937"/>
                <w:sz w:val="19"/>
              </w:rPr>
              <w:t>Need for empirical evidence</w:t>
            </w:r>
          </w:p>
        </w:tc>
        <w:tc>
          <w:tcPr>
            <w:tcW w:type="dxa" w:w="3900"/>
          </w:tcPr>
          <w:p>
            <w:pPr>
              <w:pStyle w:val="TableText"/>
            </w:pPr>
            <w:r>
              <w:rPr>
                <w:rFonts w:ascii="Calibri" w:hAnsi="Calibri"/>
                <w:color w:val="1F2937"/>
                <w:sz w:val="19"/>
              </w:rPr>
              <w:t>Evaluate usability, correctness, resilience, throughput, cost, and governance with a declared protocol.</w:t>
            </w:r>
          </w:p>
        </w:tc>
        <w:tc>
          <w:tcPr>
            <w:tcW w:type="dxa" w:w="3120"/>
          </w:tcPr>
          <w:p>
            <w:pPr>
              <w:pStyle w:val="TableText"/>
            </w:pPr>
            <w:r>
              <w:rPr>
                <w:rFonts w:ascii="Calibri" w:hAnsi="Calibri"/>
                <w:color w:val="1F2937"/>
                <w:sz w:val="19"/>
              </w:rPr>
              <w:t>No Caliper benchmark or 15-person expert evaluation has been executed or reported.</w:t>
            </w:r>
          </w:p>
        </w:tc>
      </w:tr>
    </w:tbl>
    <w:p>
      <w:pPr>
        <w:spacing w:after="0"/>
      </w:pPr>
    </w:p>
    <w:p>
      <w:r>
        <w:rPr>
          <w:rFonts w:ascii="Calibri" w:hAnsi="Calibri"/>
          <w:i w:val="0"/>
        </w:rPr>
        <w:t>The synthesis supports BLMS as a phased research prototype. The minimum viable contribution is a traceable local workflow that demonstrates the problem-solution mapping honestly. The next research contribution is not simply 'turning Fabric on'; it is conducting a controlled Fabric deployment and measuring whether it improves the required properties under stated conditions.</w:t>
      </w:r>
    </w:p>
    <w:p>
      <w:pPr>
        <w:pStyle w:val="Heading1"/>
      </w:pPr>
      <w:r>
        <w:t>6. Threats to validity and future review work</w:t>
      </w:r>
    </w:p>
    <w:p>
      <w:pPr>
        <w:pStyle w:val="ListBullet"/>
        <w:spacing w:after="80" w:line="290" w:lineRule="auto"/>
      </w:pPr>
      <w:r>
        <w:rPr>
          <w:rFonts w:ascii="Calibri" w:hAnsi="Calibri"/>
        </w:rPr>
        <w:t>Coverage risk: this review uses traceable web-accessible scholarly sources, but should be extended through library database searches before final thesis submission.</w:t>
      </w:r>
    </w:p>
    <w:p>
      <w:pPr>
        <w:pStyle w:val="ListBullet"/>
        <w:spacing w:after="80" w:line="290" w:lineRule="auto"/>
      </w:pPr>
      <w:r>
        <w:rPr>
          <w:rFonts w:ascii="Calibri" w:hAnsi="Calibri"/>
        </w:rPr>
        <w:t>Publication bias: proposal papers may state benefits more strongly than field deployments demonstrate; implementation claims should be distinguished from conceptual designs.</w:t>
      </w:r>
    </w:p>
    <w:p>
      <w:pPr>
        <w:pStyle w:val="ListBullet"/>
        <w:spacing w:after="80" w:line="290" w:lineRule="auto"/>
      </w:pPr>
      <w:r>
        <w:rPr>
          <w:rFonts w:ascii="Calibri" w:hAnsi="Calibri"/>
        </w:rPr>
        <w:t>Context transfer: international land-registry examples are informative but do not automatically transfer to Nigeria's legal, institutional, or infrastructure conditions.</w:t>
      </w:r>
    </w:p>
    <w:p>
      <w:pPr>
        <w:pStyle w:val="ListBullet"/>
        <w:spacing w:after="80" w:line="290" w:lineRule="auto"/>
      </w:pPr>
      <w:r>
        <w:rPr>
          <w:rFonts w:ascii="Calibri" w:hAnsi="Calibri"/>
        </w:rPr>
        <w:t>Terminology: 'immutable' describes record-evidence properties, not an unconditional legal outcome. Authorised correction, dispute resolution, and data-protection procedures must be designed explicitly.</w:t>
      </w:r>
    </w:p>
    <w:p>
      <w:pPr>
        <w:pStyle w:val="ListBullet"/>
        <w:spacing w:after="80" w:line="290" w:lineRule="auto"/>
      </w:pPr>
      <w:r>
        <w:rPr>
          <w:rFonts w:ascii="Calibri" w:hAnsi="Calibri"/>
        </w:rPr>
        <w:t>Future update: repeat the search in Scopus, Web of Science, IEEE Xplore, and Google Scholar; export records; deduplicate; screen independently where possible; then publish an exact PRISMA flow diagram.</w:t>
      </w:r>
    </w:p>
    <w:p>
      <w:pPr>
        <w:pStyle w:val="Heading1"/>
      </w:pPr>
      <w:r>
        <w:t>References</w:t>
      </w:r>
    </w:p>
    <w:p>
      <w:pPr>
        <w:spacing w:after="80" w:line="276" w:lineRule="auto"/>
        <w:ind w:left="360" w:hanging="360"/>
      </w:pPr>
      <w:r>
        <w:rPr>
          <w:rFonts w:ascii="Calibri" w:hAnsi="Calibri"/>
          <w:sz w:val="20"/>
        </w:rPr>
        <w:t>Androulaki, E., Barger, A., Bortnikov, V., et al. (2018). Hyperledger Fabric: A distributed operating system for permissioned blockchains. Proceedings of the Thirteenth EuroSys Conference. https://doi.org/10.1145/3190508.3190538</w:t>
      </w:r>
    </w:p>
    <w:p>
      <w:pPr>
        <w:spacing w:after="80" w:line="276" w:lineRule="auto"/>
        <w:ind w:left="360" w:hanging="360"/>
      </w:pPr>
      <w:r>
        <w:rPr>
          <w:rFonts w:ascii="Calibri" w:hAnsi="Calibri"/>
          <w:sz w:val="20"/>
        </w:rPr>
        <w:t>Banerjee, M., Lee, J., &amp; Choo, K.-K. R. (2022). Blockchain and IPFS-based reliable land registry system. Security and Privacy, 5(2), e236. https://doi.org/10.1002/spy2.236</w:t>
      </w:r>
    </w:p>
    <w:p>
      <w:pPr>
        <w:spacing w:after="80" w:line="276" w:lineRule="auto"/>
        <w:ind w:left="360" w:hanging="360"/>
      </w:pPr>
      <w:r>
        <w:rPr>
          <w:rFonts w:ascii="Calibri" w:hAnsi="Calibri"/>
          <w:sz w:val="20"/>
        </w:rPr>
        <w:t>Khalid, M. I., Iqbal, J., Hussain, A. A., &amp; Ullah, S. S. (2022). Blockchain-based land registration system: A conceptual framework. Applied Bionics and Biomechanics, 2022, 3859629. https://doi.org/10.1155/2022/3859629</w:t>
      </w:r>
    </w:p>
    <w:p>
      <w:pPr>
        <w:spacing w:after="80" w:line="276" w:lineRule="auto"/>
        <w:ind w:left="360" w:hanging="360"/>
      </w:pPr>
      <w:r>
        <w:rPr>
          <w:rFonts w:ascii="Calibri" w:hAnsi="Calibri"/>
          <w:sz w:val="20"/>
        </w:rPr>
        <w:t>Kitchenham, B., &amp; Charters, S. (2007). Guidelines for performing systematic literature reviews in software engineering. EBSE Technical Report, EBSE-2007-01.</w:t>
      </w:r>
    </w:p>
    <w:p>
      <w:pPr>
        <w:spacing w:after="80" w:line="276" w:lineRule="auto"/>
        <w:ind w:left="360" w:hanging="360"/>
      </w:pPr>
      <w:r>
        <w:rPr>
          <w:rFonts w:ascii="Calibri" w:hAnsi="Calibri"/>
          <w:sz w:val="20"/>
        </w:rPr>
        <w:t>Krishnapriya, S., &amp; Sarath, G. (2020). Securing land registration using blockchain. Procedia Computer Science, 171, 1708-1715. https://doi.org/10.1016/j.procs.2020.04.183</w:t>
      </w:r>
    </w:p>
    <w:p>
      <w:pPr>
        <w:spacing w:after="80" w:line="276" w:lineRule="auto"/>
        <w:ind w:left="360" w:hanging="360"/>
      </w:pPr>
      <w:r>
        <w:rPr>
          <w:rFonts w:ascii="Calibri" w:hAnsi="Calibri"/>
          <w:sz w:val="20"/>
        </w:rPr>
        <w:t>Obamehinti, A. S., &amp; Eguavoen, V. (2022). A literature review of land title with the aim of maximising the benefits of blockchain technology in the management of land title in Nigeria. Studia Universitatis Babes-Bolyai Engineering, 67(1), 124-135. https://doi.org/10.24193/subbeng.2022.1.12</w:t>
      </w:r>
    </w:p>
    <w:p>
      <w:pPr>
        <w:spacing w:after="80" w:line="276" w:lineRule="auto"/>
        <w:ind w:left="360" w:hanging="360"/>
      </w:pPr>
      <w:r>
        <w:rPr>
          <w:rFonts w:ascii="Calibri" w:hAnsi="Calibri"/>
          <w:sz w:val="20"/>
        </w:rPr>
        <w:t>Okoli, F. U., Oludiji, S. M., Ofoegbunam, E. I., Oyesiji, O. M., &amp; Akindiya, O. M. (2024). Blockchain technology for land registration in Nigeria: A review of opportunities and challenges. FUDMA Journal of Sciences, 8(6). https://doi.org/10.33003/fjs-2024-0806-2919</w:t>
      </w:r>
    </w:p>
    <w:p>
      <w:pPr>
        <w:spacing w:after="80" w:line="276" w:lineRule="auto"/>
        <w:ind w:left="360" w:hanging="360"/>
      </w:pPr>
      <w:r>
        <w:rPr>
          <w:rFonts w:ascii="Calibri" w:hAnsi="Calibri"/>
          <w:sz w:val="20"/>
        </w:rPr>
        <w:t>Page, M. J., McKenzie, J. E., Bossuyt, P. M., et al. (2021). The PRISMA 2020 statement: An updated guideline for reporting systematic reviews. BMJ, 372, n71. https://doi.org/10.1136/bmj.n71</w:t>
      </w:r>
    </w:p>
    <w:p>
      <w:pPr>
        <w:spacing w:after="80" w:line="276" w:lineRule="auto"/>
        <w:ind w:left="360" w:hanging="360"/>
      </w:pPr>
      <w:r>
        <w:rPr>
          <w:rFonts w:ascii="Calibri" w:hAnsi="Calibri"/>
          <w:sz w:val="20"/>
        </w:rPr>
        <w:t>Zein, R. M., &amp; Twinomurinzi, H. (2023). Blockchain technology in lands registration: A systematic literature review. Journal of eDemocracy and Open Government, 15(2), 1-36. https://doi.org/10.29379/jedem.v15i2.748</w:t>
      </w:r>
    </w:p>
    <w:p>
      <w:pPr>
        <w:spacing w:after="80" w:line="276" w:lineRule="auto"/>
        <w:ind w:left="360" w:hanging="360"/>
      </w:pPr>
      <w:r>
        <w:rPr>
          <w:rFonts w:ascii="Calibri" w:hAnsi="Calibri"/>
          <w:sz w:val="20"/>
        </w:rPr>
        <w:t>Zein, R. M., &amp; Twinomurinzi, H. (2024). Information sharing in land registration using Hyperledger Fabric blockchain. Digital, 2(2), 6. https://doi.org/10.3390/digital2020006</w:t>
      </w:r>
    </w:p>
    <w:p>
      <w:pPr>
        <w:spacing w:after="80" w:line="276" w:lineRule="auto"/>
        <w:ind w:left="360" w:hanging="360"/>
      </w:pPr>
      <w:r>
        <w:rPr>
          <w:rFonts w:ascii="Calibri" w:hAnsi="Calibri"/>
          <w:sz w:val="20"/>
        </w:rPr>
        <w:t>Ali, T., Nadeem, A., Alzahrani, A., &amp; Jan, S. (2020). A transparent and trusted property registration system on permissioned blockchain. 2019 International Conference on Advances in the Emerging Computing Technologies. https://doi.org/10.1109/AECT47998.2020.9194222</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573"/>
        <w:sz w:val="18"/>
      </w:rPr>
      <w:t xml:space="preserve">BLMS | Page </w:t>
    </w:r>
    <w:r>
      <w:rPr>
        <w:rFonts w:ascii="Calibri" w:hAnsi="Calibri"/>
        <w:color w:val="5B6573"/>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B6573"/>
        <w:sz w:val="18"/>
      </w:rPr>
      <w:t>SYSTEMATIC LITERATURE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0" w:line="264" w:lineRule="auto"/>
    </w:pPr>
    <w:rPr>
      <w:rFonts w:ascii="Calibri" w:hAnsi="Calibri"/>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