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after="2400"/>
      </w:pPr>
    </w:p>
    <w:p>
      <w:pPr>
        <w:spacing w:after="120"/>
        <w:jc w:val="center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color w:val="1A1A2E"/>
          <w:sz w:val="56"/>
          <w:szCs w:val="56"/>
        </w:rPr>
        <w:t xml:space="preserve">THE COMMON TONE</w:t>
      </w:r>
    </w:p>
    <w:p>
      <w:pPr>
        <w:spacing w:after="240"/>
        <w:jc w:val="center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color w:val="4A4A6A"/>
          <w:sz w:val="36"/>
          <w:szCs w:val="36"/>
        </w:rPr>
        <w:t xml:space="preserve">Brand Brief</w:t>
      </w:r>
    </w:p>
    <w:p>
      <w:pPr>
        <w:pStyle w:val="Normal"/>
        <w:spacing w:after="200"/>
      </w:pPr>
    </w:p>
    <w:p>
      <w:pPr>
        <w:spacing w:after="60"/>
        <w:jc w:val="center"/>
      </w:pPr>
      <w:r>
        <w:rPr>
          <w:rFonts w:ascii="Gill Sans" w:cs="Gill Sans" w:eastAsia="Gill Sans" w:hAnsi="Gill Sans"/>
          <w:i/>
          <w:iCs/>
          <w:color w:val="D4A843"/>
          <w:sz w:val="24"/>
          <w:szCs w:val="24"/>
        </w:rPr>
        <w:t xml:space="preserve">Where the Sacred and the Profane Share the Same Cup</w:t>
      </w:r>
    </w:p>
    <w:p>
      <w:pPr>
        <w:pStyle w:val="Normal"/>
        <w:spacing w:after="600"/>
      </w:pPr>
    </w:p>
    <w:p>
      <w:pPr>
        <w:spacing w:after="60"/>
        <w:jc w:val="center"/>
      </w:pPr>
      <w:r>
        <w:rPr>
          <w:rFonts w:ascii="Gill Sans" w:cs="Gill Sans" w:eastAsia="Gill Sans" w:hAnsi="Gill Sans"/>
          <w:sz w:val="22"/>
          <w:szCs w:val="22"/>
        </w:rPr>
        <w:t xml:space="preserve">Prepared by Doug Smith</w:t>
      </w:r>
    </w:p>
    <w:p>
      <w:pPr>
        <w:spacing w:after="60"/>
        <w:jc w:val="center"/>
      </w:pPr>
      <w:r>
        <w:rPr>
          <w:rFonts w:ascii="Gill Sans" w:cs="Gill Sans" w:eastAsia="Gill Sans" w:hAnsi="Gill Sans"/>
          <w:sz w:val="22"/>
          <w:szCs w:val="22"/>
        </w:rPr>
        <w:t xml:space="preserve">April 2026</w:t>
      </w:r>
    </w:p>
    <w:p>
      <w:pPr>
        <w:jc w:val="center"/>
      </w:pPr>
      <w:r>
        <w:rPr>
          <w:rFonts w:ascii="Gill Sans" w:cs="Gill Sans" w:eastAsia="Gill Sans" w:hAnsi="Gill Sans"/>
          <w:color w:val="D4A843"/>
          <w:sz w:val="22"/>
          <w:szCs w:val="22"/>
        </w:rPr>
        <w:t xml:space="preserve">thecommontone.com</w:t>
      </w:r>
    </w:p>
    <w:p>
      <w:r>
        <w:br w:type="page"/>
      </w:r>
    </w:p>
    <w:p>
      <w:pPr>
        <w:pStyle w:val="Heading1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40"/>
          <w:szCs w:val="40"/>
        </w:rPr>
        <w:t xml:space="preserve">Who We Are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sz w:val="22"/>
          <w:szCs w:val="22"/>
        </w:rPr>
        <w:t xml:space="preserve">The Common Tone is a music theory enterprise built by Doug Smith — a music professor, composer, and performer. At its heart is a textbook called The Sound and the Theory, a comprehensive popular music theory text that treats classical tradition and popular, blues, and jazz idioms with equal reverence.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sz w:val="22"/>
          <w:szCs w:val="22"/>
        </w:rPr>
        <w:t xml:space="preserve">But this is more than a textbook. It is the central node of an interconnected enterprise: a textbook, a four-course university curriculum, a YouTube channel, a Substack newsletter, a website with interactive tools, and a growing social media presence. Every part shares the same intellectual DNA and the same brand identity.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none" w:sz="0"/>
              <w:left w:val="single" w:color="D4A843" w:sz="76"/>
              <w:bottom w:val="none" w:sz="0"/>
              <w:right w:val="none" w:sz="0"/>
            </w:tcBorders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pPr>
              <w:spacing w:after="60"/>
            </w:pPr>
            <w:r>
              <w:rPr>
                <w:rFonts w:ascii="Gill Sans" w:cs="Gill Sans" w:eastAsia="Gill Sans" w:hAnsi="Gill Sans"/>
                <w:b/>
                <w:bCs/>
                <w:sz w:val="22"/>
                <w:szCs w:val="22"/>
              </w:rPr>
              <w:t xml:space="preserve">The Core Idea</w:t>
            </w:r>
          </w:p>
          <w:p>
            <w:pPr>
              <w:spacing w:after="40" w:line="240"/>
            </w:pPr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In music, a common tone is the single pitch shared between two chords — the thread that holds a modulation together, the note that belongs to both worlds at once.</w:t>
            </w:r>
          </w:p>
          <w:p>
            <w:pPr>
              <w:spacing w:after="40" w:line="240"/>
            </w:pPr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That’s what this brand is: the common ground between the scholarly and the accessible, the classical and the popular, the rigorous and the inviting.</w:t>
            </w:r>
          </w:p>
        </w:tc>
      </w:tr>
    </w:tbl>
    <w:p>
      <w:pPr>
        <w:pStyle w:val="Normal"/>
        <w:spacing w:after="120"/>
      </w:pPr>
    </w:p>
    <w:p>
      <w:pPr>
        <w:pStyle w:val="Heading2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32"/>
          <w:szCs w:val="32"/>
        </w:rPr>
        <w:t xml:space="preserve">What Makes This Project Different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sz w:val="22"/>
          <w:szCs w:val="22"/>
        </w:rPr>
        <w:t xml:space="preserve">The Sound and the Theory is not a conventional textbook that forces pop music into classical boxes. Doug has developed a set of original theoretical contributions that give the book a distinctive intellectual identity: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b/>
          <w:bCs/>
          <w:sz w:val="22"/>
          <w:szCs w:val="22"/>
        </w:rPr>
        <w:t xml:space="preserve">The Plagal Paradigm: </w:t>
      </w:r>
      <w:r>
        <w:rPr>
          <w:rFonts w:ascii="Gill Sans" w:cs="Gill Sans" w:eastAsia="Gill Sans" w:hAnsi="Gill Sans"/>
          <w:sz w:val="22"/>
          <w:szCs w:val="22"/>
        </w:rPr>
        <w:t xml:space="preserve">A reframing of harmonic function that treats the I–IV axis as a co-equal partner to the traditional I–V axis. The grammar of gospel, folk, rock, and much of the world’s music, finally given its due.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b/>
          <w:bCs/>
          <w:sz w:val="22"/>
          <w:szCs w:val="22"/>
        </w:rPr>
        <w:t xml:space="preserve">Graded Closure: </w:t>
      </w:r>
      <w:r>
        <w:rPr>
          <w:rFonts w:ascii="Gill Sans" w:cs="Gill Sans" w:eastAsia="Gill Sans" w:hAnsi="Gill Sans"/>
          <w:sz w:val="22"/>
          <w:szCs w:val="22"/>
        </w:rPr>
        <w:t xml:space="preserve">A nine-level taxonomy of how music arrives — not a binary “cadence or not,” but a spectrum of arrival strength.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b/>
          <w:bCs/>
          <w:sz w:val="22"/>
          <w:szCs w:val="22"/>
        </w:rPr>
        <w:t xml:space="preserve">Stream Leading: </w:t>
      </w:r>
      <w:r>
        <w:rPr>
          <w:rFonts w:ascii="Gill Sans" w:cs="Gill Sans" w:eastAsia="Gill Sans" w:hAnsi="Gill Sans"/>
          <w:sz w:val="22"/>
          <w:szCs w:val="22"/>
        </w:rPr>
        <w:t xml:space="preserve">A framework for understanding modern pop texture as four functional layers (Beat, Bass, Filler, Melody) rather than four-part chorale writing.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b/>
          <w:bCs/>
          <w:sz w:val="22"/>
          <w:szCs w:val="22"/>
        </w:rPr>
        <w:t xml:space="preserve">The Herald: </w:t>
      </w:r>
      <w:r>
        <w:rPr>
          <w:rFonts w:ascii="Gill Sans" w:cs="Gill Sans" w:eastAsia="Gill Sans" w:hAnsi="Gill Sans"/>
          <w:sz w:val="22"/>
          <w:szCs w:val="22"/>
        </w:rPr>
        <w:t xml:space="preserve">The concept that form in popular music is articulated by texture and rhythm — drum fills, guitar licks, strategic silences — as much as by harmony.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sz w:val="22"/>
          <w:szCs w:val="22"/>
        </w:rPr>
        <w:t xml:space="preserve">These are not minor variations on existing theory. They are original contributions that position The Common Tone as a distinctive voice in the field.</w:t>
      </w:r>
    </w:p>
    <w:p>
      <w:r>
        <w:br w:type="page"/>
      </w:r>
    </w:p>
    <w:p>
      <w:pPr>
        <w:pStyle w:val="Heading1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40"/>
          <w:szCs w:val="40"/>
        </w:rPr>
        <w:t xml:space="preserve">The Enterprise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sz w:val="22"/>
          <w:szCs w:val="22"/>
        </w:rPr>
        <w:t xml:space="preserve">The enterprise has six properties, all connected. The textbook is the foundation — the thing that earns the right to everything else. Each platform transforms the material for its native medium.</w:t>
      </w:r>
    </w:p>
    <w:p>
      <w:pPr>
        <w:pStyle w:val="Normal"/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b/>
                <w:bCs/>
                <w:color w:val="F5F0E8"/>
                <w:sz w:val="20"/>
                <w:szCs w:val="20"/>
              </w:rPr>
              <w:t xml:space="preserve">Property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b/>
                <w:bCs/>
                <w:color w:val="F5F0E8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b/>
                <w:bCs/>
                <w:color w:val="F5F0E8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The Sound and the Theory
(textbook)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The Authority. The definitive work.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University students, serious self-learners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thecommontone.com
(website)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The Hub. Central nervous system.
Links everything together.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Everyone — the front desk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Pop Music Theory Hub
(website section)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The Workshop. Interactive tools,
exercises, song database.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Students, teachers, self-learners,
curious musicians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Substack newsletter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The Depth. Extended essays,
serialized chapters, community.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Engaged readers, fellow theorists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YouTube channel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The Discovery Engine. The front door.
Visual, audible, shareable.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Broadest audience — casual to serious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Social media
(X, Instagram, Reddit)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The Signal. Provocations, quotes,
conversation, visual content.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Music theory community,
musicians, educators</w:t>
            </w:r>
          </w:p>
        </w:tc>
      </w:tr>
    </w:tbl>
    <w:p>
      <w:pPr>
        <w:pStyle w:val="Normal"/>
        <w:spacing w:after="200"/>
      </w:pPr>
    </w:p>
    <w:p>
      <w:pPr>
        <w:pStyle w:val="Heading2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32"/>
          <w:szCs w:val="32"/>
        </w:rPr>
        <w:t xml:space="preserve">How Content Flows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sz w:val="22"/>
          <w:szCs w:val="22"/>
        </w:rPr>
        <w:t xml:space="preserve">Ideas originate in the textbook research and flow outward, transformed for each platform: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b/>
          <w:bCs/>
          <w:sz w:val="22"/>
          <w:szCs w:val="22"/>
        </w:rPr>
        <w:t xml:space="preserve">Textbook</w:t>
      </w:r>
      <w:r>
        <w:rPr>
          <w:rFonts w:ascii="Gill Sans" w:cs="Gill Sans" w:eastAsia="Gill Sans" w:hAnsi="Gill Sans"/>
          <w:sz w:val="22"/>
          <w:szCs w:val="22"/>
        </w:rPr>
        <w:t xml:space="preserve"> (the definitive treatment) → </w:t>
      </w:r>
      <w:r>
        <w:rPr>
          <w:rFonts w:ascii="Gill Sans" w:cs="Gill Sans" w:eastAsia="Gill Sans" w:hAnsi="Gill Sans"/>
          <w:b/>
          <w:bCs/>
          <w:sz w:val="22"/>
          <w:szCs w:val="22"/>
        </w:rPr>
        <w:t xml:space="preserve">Substack</w:t>
      </w:r>
      <w:r>
        <w:rPr>
          <w:rFonts w:ascii="Gill Sans" w:cs="Gill Sans" w:eastAsia="Gill Sans" w:hAnsi="Gill Sans"/>
          <w:sz w:val="22"/>
          <w:szCs w:val="22"/>
        </w:rPr>
        <w:t xml:space="preserve"> (the essay — expands, editorializes) → </w:t>
      </w:r>
      <w:r>
        <w:rPr>
          <w:rFonts w:ascii="Gill Sans" w:cs="Gill Sans" w:eastAsia="Gill Sans" w:hAnsi="Gill Sans"/>
          <w:b/>
          <w:bCs/>
          <w:sz w:val="22"/>
          <w:szCs w:val="22"/>
        </w:rPr>
        <w:t xml:space="preserve">YouTube</w:t>
      </w:r>
      <w:r>
        <w:rPr>
          <w:rFonts w:ascii="Gill Sans" w:cs="Gill Sans" w:eastAsia="Gill Sans" w:hAnsi="Gill Sans"/>
          <w:sz w:val="22"/>
          <w:szCs w:val="22"/>
        </w:rPr>
        <w:t xml:space="preserve"> (the demonstration — makes it audible and visible) → </w:t>
      </w:r>
      <w:r>
        <w:rPr>
          <w:rFonts w:ascii="Gill Sans" w:cs="Gill Sans" w:eastAsia="Gill Sans" w:hAnsi="Gill Sans"/>
          <w:b/>
          <w:bCs/>
          <w:sz w:val="22"/>
          <w:szCs w:val="22"/>
        </w:rPr>
        <w:t xml:space="preserve">Social</w:t>
      </w:r>
      <w:r>
        <w:rPr>
          <w:rFonts w:ascii="Gill Sans" w:cs="Gill Sans" w:eastAsia="Gill Sans" w:hAnsi="Gill Sans"/>
          <w:sz w:val="22"/>
          <w:szCs w:val="22"/>
        </w:rPr>
        <w:t xml:space="preserve"> (the signal — distills to a single compelling moment)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sz w:val="22"/>
          <w:szCs w:val="22"/>
        </w:rPr>
        <w:t xml:space="preserve">The flow also reverses: audience questions and engagement feed back into the research and the book. A Reddit thread can surface a better way to explain something. A YouTube comment can reveal a common misconception worth addressing.</w:t>
      </w:r>
    </w:p>
    <w:p>
      <w:r>
        <w:br w:type="page"/>
      </w:r>
    </w:p>
    <w:p>
      <w:pPr>
        <w:pStyle w:val="Heading1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40"/>
          <w:szCs w:val="40"/>
        </w:rPr>
        <w:t xml:space="preserve">The Brand Identity</w:t>
      </w:r>
    </w:p>
    <w:p>
      <w:pPr>
        <w:pStyle w:val="Heading2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32"/>
          <w:szCs w:val="32"/>
        </w:rPr>
        <w:t xml:space="preserve">Aesthetic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sz w:val="22"/>
          <w:szCs w:val="22"/>
        </w:rPr>
        <w:t xml:space="preserve">In three words: </w:t>
      </w:r>
      <w:r>
        <w:rPr>
          <w:rFonts w:ascii="Gill Sans" w:cs="Gill Sans" w:eastAsia="Gill Sans" w:hAnsi="Gill Sans"/>
          <w:b/>
          <w:bCs/>
          <w:sz w:val="22"/>
          <w:szCs w:val="22"/>
        </w:rPr>
        <w:t xml:space="preserve">Warm. Scholarly. Grounded.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sz w:val="22"/>
          <w:szCs w:val="22"/>
        </w:rPr>
        <w:t xml:space="preserve">Dark Academia, but not cosplay. This is a real scholar’s desk — worn wood, good light, ink that’s actually been used. The aesthetic should feel like a place where serious work happens and where you’d also want to have a drink.</w:t>
      </w:r>
    </w:p>
    <w:p>
      <w:pPr>
        <w:pStyle w:val="Heading3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26"/>
          <w:szCs w:val="26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b/>
                <w:bCs/>
                <w:color w:val="F5F0E8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b/>
                <w:bCs/>
                <w:color w:val="F5F0E8"/>
                <w:sz w:val="20"/>
                <w:szCs w:val="20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b/>
                <w:bCs/>
                <w:color w:val="F5F0E8"/>
                <w:sz w:val="20"/>
                <w:szCs w:val="20"/>
              </w:rPr>
              <w:t xml:space="preserve">Hex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b/>
                <w:bCs/>
                <w:color w:val="F5F0E8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Primary 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Obsidian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#1A1A2E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Backgrounds, primary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Primary Warm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Amber / Gold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#D4A843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Accents, highlights, links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Secondary Warm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Parchment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#F5F0E8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Light backgrounds, cards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Secondary Cool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Slate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#4A4A6A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Secondary text, borders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Accent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Deep Burgundy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#8B2332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Emphasis, key terms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Muted 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#6B7F5E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Confirmations, tags</w:t>
            </w:r>
          </w:p>
        </w:tc>
      </w:tr>
    </w:tbl>
    <w:p>
      <w:pPr>
        <w:pStyle w:val="Normal"/>
        <w:spacing w:after="100"/>
      </w:pPr>
    </w:p>
    <w:p>
      <w:pPr>
        <w:pStyle w:val="Normal"/>
        <w:spacing w:after="120" w:line="360"/>
      </w:pPr>
      <w:r>
        <w:rPr>
          <w:rFonts w:ascii="Gill Sans" w:cs="Gill Sans" w:eastAsia="Gill Sans" w:hAnsi="Gill Sans"/>
          <w:sz w:val="22"/>
          <w:szCs w:val="22"/>
        </w:rPr>
        <w:t xml:space="preserve">Note: These are working values. Final palette to be confirmed during brand development.</w:t>
      </w:r>
    </w:p>
    <w:p>
      <w:pPr>
        <w:pStyle w:val="Heading3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26"/>
          <w:szCs w:val="26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b/>
                <w:bCs/>
                <w:color w:val="F5F0E8"/>
                <w:sz w:val="20"/>
                <w:szCs w:val="20"/>
              </w:rPr>
              <w:t xml:space="preserve">Context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b/>
                <w:bCs/>
                <w:color w:val="F5F0E8"/>
                <w:sz w:val="20"/>
                <w:szCs w:val="20"/>
              </w:rPr>
              <w:t xml:space="preserve">Typeface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b/>
                <w:bCs/>
                <w:color w:val="F5F0E8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Print headings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Futura Condensed ExtraBold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Established house style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Print body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Gill Sans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Established house style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Web headings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Playfair Display (Bold)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Serif — scholarly authority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Web body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Lato or Open Sans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Clean, readable sans-serif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Social overlays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Futura Condensed ExtraBold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Matches print for brand continuity</w:t>
            </w:r>
          </w:p>
        </w:tc>
      </w:tr>
    </w:tbl>
    <w:p>
      <w:pPr>
        <w:pStyle w:val="Heading3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26"/>
          <w:szCs w:val="26"/>
        </w:rPr>
        <w:t xml:space="preserve">Logo and Wordmark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b/>
          <w:bCs/>
          <w:sz w:val="22"/>
          <w:szCs w:val="22"/>
        </w:rPr>
        <w:t xml:space="preserve">Status: </w:t>
      </w:r>
      <w:r>
        <w:rPr>
          <w:rFonts w:ascii="Gill Sans" w:cs="Gill Sans" w:eastAsia="Gill Sans" w:hAnsi="Gill Sans"/>
          <w:sz w:val="22"/>
          <w:szCs w:val="22"/>
        </w:rPr>
        <w:t xml:space="preserve">Needs to be developed.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sz w:val="22"/>
          <w:szCs w:val="22"/>
        </w:rPr>
        <w:t xml:space="preserve">The name “The Common Tone” is inherently musical and conceptual — a shared pitch between two chords. The mark should evoke connection, overlap, and shared ground without being literal music-note clip art. It must work at avatar scale (32×32px) and at print scale, and it should feel warm and scholarly — not corporate, not whimsical.</w:t>
      </w:r>
    </w:p>
    <w:p>
      <w:pPr>
        <w:pStyle w:val="Heading3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26"/>
          <w:szCs w:val="26"/>
        </w:rPr>
        <w:t xml:space="preserve">Platform Visual Specs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b/>
          <w:bCs/>
          <w:sz w:val="22"/>
          <w:szCs w:val="22"/>
        </w:rPr>
        <w:t xml:space="preserve">Status: </w:t>
      </w:r>
      <w:r>
        <w:rPr>
          <w:rFonts w:ascii="Gill Sans" w:cs="Gill Sans" w:eastAsia="Gill Sans" w:hAnsi="Gill Sans"/>
          <w:sz w:val="22"/>
          <w:szCs w:val="22"/>
        </w:rPr>
        <w:t xml:space="preserve">Needs to be developed — blocked by logo/wordmark.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sz w:val="22"/>
          <w:szCs w:val="22"/>
        </w:rPr>
        <w:t xml:space="preserve">Once the core identity is locked, templates are needed for: YouTube thumbnails and channel banner, Substack headers, Instagram feed and story templates, X header and post images, and website hero/card layouts. The governing principle: every thumbnail, header, card, and avatar should be recognizably from the same family at a glance.</w:t>
      </w:r>
    </w:p>
    <w:p>
      <w:r>
        <w:br w:type="page"/>
      </w:r>
    </w:p>
    <w:p>
      <w:pPr>
        <w:pStyle w:val="Heading1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40"/>
          <w:szCs w:val="40"/>
        </w:rPr>
        <w:t xml:space="preserve">The Voice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sz w:val="22"/>
          <w:szCs w:val="22"/>
        </w:rPr>
        <w:t xml:space="preserve">Doug Smith is always Doug Smith. But the room changes the register. The core voice — scholarly, warm, precise, comic when the moment allows — is the constant. What shifts is the density, the formality, and the tempo.</w:t>
      </w:r>
    </w:p>
    <w:p>
      <w:pPr>
        <w:pStyle w:val="Heading3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26"/>
          <w:szCs w:val="26"/>
        </w:rPr>
        <w:t xml:space="preserve">By Platform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b/>
          <w:bCs/>
          <w:sz w:val="22"/>
          <w:szCs w:val="22"/>
        </w:rPr>
        <w:t xml:space="preserve">Textbook: </w:t>
      </w:r>
      <w:r>
        <w:rPr>
          <w:rFonts w:ascii="Gill Sans" w:cs="Gill Sans" w:eastAsia="Gill Sans" w:hAnsi="Gill Sans"/>
          <w:sz w:val="22"/>
          <w:szCs w:val="22"/>
        </w:rPr>
        <w:t xml:space="preserve">Full scholarly. The complete instrument. Etymological depth, narrative personas, multi-layered argument. Can be long and complex when the idea demands it. Never talks down, never apologizes for complexity.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b/>
          <w:bCs/>
          <w:sz w:val="22"/>
          <w:szCs w:val="22"/>
        </w:rPr>
        <w:t xml:space="preserve">Substack: </w:t>
      </w:r>
      <w:r>
        <w:rPr>
          <w:rFonts w:ascii="Gill Sans" w:cs="Gill Sans" w:eastAsia="Gill Sans" w:hAnsi="Gill Sans"/>
          <w:sz w:val="22"/>
          <w:szCs w:val="22"/>
        </w:rPr>
        <w:t xml:space="preserve">Essayistic. The professor writing for peers and enthusiasts. Can pursue a single idea at length — the digressions are the point. More literary than the textbook. Publishes when the essay is ready, not on a forced schedule.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b/>
          <w:bCs/>
          <w:sz w:val="22"/>
          <w:szCs w:val="22"/>
        </w:rPr>
        <w:t xml:space="preserve">YouTube: </w:t>
      </w:r>
      <w:r>
        <w:rPr>
          <w:rFonts w:ascii="Gill Sans" w:cs="Gill Sans" w:eastAsia="Gill Sans" w:hAnsi="Gill Sans"/>
          <w:sz w:val="22"/>
          <w:szCs w:val="22"/>
        </w:rPr>
        <w:t xml:space="preserve">Performative-scholarly. The good lecture hall — the one you don’t skip. First 15 seconds must hook, but never rushed. The pacing of a good storyteller. Seasonal rhythm, roughly weekly.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b/>
          <w:bCs/>
          <w:sz w:val="22"/>
          <w:szCs w:val="22"/>
        </w:rPr>
        <w:t xml:space="preserve">X / Twitter: </w:t>
      </w:r>
      <w:r>
        <w:rPr>
          <w:rFonts w:ascii="Gill Sans" w:cs="Gill Sans" w:eastAsia="Gill Sans" w:hAnsi="Gill Sans"/>
          <w:sz w:val="22"/>
          <w:szCs w:val="22"/>
        </w:rPr>
        <w:t xml:space="preserve">Aphoristic. The sharpest version of the idea. One insight per post. Punchy but never glib. Never dunks, never engages in bad-faith arguments.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b/>
          <w:bCs/>
          <w:sz w:val="22"/>
          <w:szCs w:val="22"/>
        </w:rPr>
        <w:t xml:space="preserve">Instagram: </w:t>
      </w:r>
      <w:r>
        <w:rPr>
          <w:rFonts w:ascii="Gill Sans" w:cs="Gill Sans" w:eastAsia="Gill Sans" w:hAnsi="Gill Sans"/>
          <w:sz w:val="22"/>
          <w:szCs w:val="22"/>
        </w:rPr>
        <w:t xml:space="preserve">Visual-first. The image carries the idea, the caption deepens it. Etymology cards, notation graphics, form maps, pull quotes. Each post should feel curated, not churned out.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b/>
          <w:bCs/>
          <w:sz w:val="22"/>
          <w:szCs w:val="22"/>
        </w:rPr>
        <w:t xml:space="preserve">Reddit: </w:t>
      </w:r>
      <w:r>
        <w:rPr>
          <w:rFonts w:ascii="Gill Sans" w:cs="Gill Sans" w:eastAsia="Gill Sans" w:hAnsi="Gill Sans"/>
          <w:sz w:val="22"/>
          <w:szCs w:val="22"/>
        </w:rPr>
        <w:t xml:space="preserve">Collegial. A knowledgeable peer, not an authority descending from above. Answers with depth and specificity. Never self-promotes without adding value.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none" w:sz="0"/>
              <w:left w:val="single" w:color="4A4A6A" w:sz="76"/>
              <w:bottom w:val="none" w:sz="0"/>
              <w:right w:val="none" w:sz="0"/>
            </w:tcBorders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pPr>
              <w:spacing w:after="60"/>
            </w:pPr>
            <w:r>
              <w:rPr>
                <w:rFonts w:ascii="Gill Sans" w:cs="Gill Sans" w:eastAsia="Gill Sans" w:hAnsi="Gill Sans"/>
                <w:b/>
                <w:bCs/>
                <w:sz w:val="22"/>
                <w:szCs w:val="22"/>
              </w:rPr>
              <w:t xml:space="preserve">Example Register (X/Twitter)</w:t>
            </w:r>
          </w:p>
          <w:p>
            <w:pPr>
              <w:spacing w:after="40" w:line="240"/>
            </w:pPr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“The IV chord doesn’t want to go home. It’s already there.”</w:t>
            </w:r>
          </w:p>
          <w:p>
            <w:pPr>
              <w:spacing w:after="40" w:line="240"/>
            </w:pPr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That’s the Common Tone voice compressed to its sharpest point: a provocation grounded in real theory, delivered with warmth and a little swagger.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40"/>
          <w:szCs w:val="40"/>
        </w:rPr>
        <w:t xml:space="preserve">Content Rhythm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sz w:val="22"/>
          <w:szCs w:val="22"/>
        </w:rPr>
        <w:t xml:space="preserve">The enterprise does not run on a rigid editorial calendar. The rhythm is organic and development-driven — content flows outward when the work produces something worth sharing.</w:t>
      </w:r>
    </w:p>
    <w:p>
      <w:pPr>
        <w:pStyle w:val="Heading3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26"/>
          <w:szCs w:val="26"/>
        </w:rPr>
        <w:t xml:space="preserve">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b/>
                <w:bCs/>
                <w:color w:val="F5F0E8"/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b/>
                <w:bCs/>
                <w:color w:val="F5F0E8"/>
                <w:sz w:val="20"/>
                <w:szCs w:val="20"/>
              </w:rPr>
              <w:t xml:space="preserve">Cadence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b/>
                <w:bCs/>
                <w:color w:val="F5F0E8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Substack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When the essay is ready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Quality-driven, not schedule-driven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YouTube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Seasonal, roughly weekly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Bursts during active phases, quieter during deep 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Social (original posts)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A couple times per week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Does not include engagement/replies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Social (engagement)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Ongoing, opportunistic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Replies, threads, conversations — always on</w:t>
            </w:r>
          </w:p>
        </w:tc>
      </w:tr>
    </w:tbl>
    <w:p>
      <w:pPr>
        <w:pStyle w:val="Normal"/>
        <w:spacing w:after="100"/>
      </w:pPr>
    </w:p>
    <w:p>
      <w:pPr>
        <w:pStyle w:val="Heading3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26"/>
          <w:szCs w:val="26"/>
        </w:rPr>
        <w:t xml:space="preserve">The Organic Campaign Model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sz w:val="22"/>
          <w:szCs w:val="22"/>
        </w:rPr>
        <w:t xml:space="preserve">Rather than a traditional content calendar, the enterprise runs on development-driven campaigns. A campaign is triggered when something real happens — a chapter reaches a milestone, a new tool launches on the website, a theoretical concept crystallizes.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sz w:val="22"/>
          <w:szCs w:val="22"/>
        </w:rPr>
        <w:t xml:space="preserve">When a trigger fires, content flows organically across platforms as a natural wave. For example, completing a major chapter might generate a Substack essay expanding one aspect, social posts with a provocative question or etymology graphic, and a YouTube video demonstrating the concept with real songs. A smaller milestone might produce only a post or two. The system makes it easy to see what each trigger could generate, without mandating that it must.</w:t>
      </w:r>
    </w:p>
    <w:p>
      <w:r>
        <w:br w:type="page"/>
      </w:r>
    </w:p>
    <w:p>
      <w:pPr>
        <w:pStyle w:val="Heading1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40"/>
          <w:szCs w:val="40"/>
        </w:rPr>
        <w:t xml:space="preserve">Social Media Presence</w:t>
      </w:r>
    </w:p>
    <w:p>
      <w:pPr>
        <w:pStyle w:val="Heading2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32"/>
          <w:szCs w:val="32"/>
        </w:rPr>
        <w:t xml:space="preserve">The Hybrid Persona Model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sz w:val="22"/>
          <w:szCs w:val="22"/>
        </w:rPr>
        <w:t xml:space="preserve">The social media presence operates as a hybrid. Doug posts personally when he wants to — the original provocations, the personal stories, the opinions that only he can voice. An AI-assisted persona handles routine engagement, scheduled visual content, and discovery, with everything going through a review queue before posting.</w:t>
      </w:r>
    </w:p>
    <w:p>
      <w:pPr>
        <w:pStyle w:val="Heading3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26"/>
          <w:szCs w:val="26"/>
        </w:rPr>
        <w:t xml:space="preserve">What Doug Handles Personally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Original intellectual observations and provocations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Personal stories from teaching, performing, and composing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Responses to sensitive or high-profile conversations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All YouTube and Substack content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Anything where a wrong note would damage the brand</w:t>
      </w:r>
    </w:p>
    <w:p>
      <w:pPr>
        <w:pStyle w:val="Heading3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26"/>
          <w:szCs w:val="26"/>
        </w:rPr>
        <w:t xml:space="preserve">What the Persona Handles (with Doug’s Review)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Scheduled content — etymology cards, notation graphics, form maps, pull quotes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Discovery — finding relevant conversations and flagging them for Doug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Drafting replies to straightforward theory questions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Cross-platform content adaptation from Substack or YouTube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Routine engagement — liking, sharing, bookmarking relevant content</w:t>
      </w:r>
    </w:p>
    <w:p>
      <w:pPr>
        <w:pStyle w:val="Heading3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26"/>
          <w:szCs w:val="26"/>
        </w:rPr>
        <w:t xml:space="preserve">The Persona Never Acts Autonomously On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Opinions on controversial topics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Corrections of other people’s analyses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Anything that sounds like Doug making a personal claim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Engagement in heated debates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Original theoretical content not already published</w:t>
      </w:r>
    </w:p>
    <w:p>
      <w:r>
        <w:br w:type="page"/>
      </w:r>
    </w:p>
    <w:p>
      <w:pPr>
        <w:pStyle w:val="Heading1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40"/>
          <w:szCs w:val="40"/>
        </w:rPr>
        <w:t xml:space="preserve">The Website: thecommontone.com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sz w:val="22"/>
          <w:szCs w:val="22"/>
        </w:rPr>
        <w:t xml:space="preserve">The website is the hub. It has three layers: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b/>
          <w:bCs/>
          <w:sz w:val="22"/>
          <w:szCs w:val="22"/>
        </w:rPr>
        <w:t xml:space="preserve">The Front Door — </w:t>
      </w:r>
      <w:r>
        <w:rPr>
          <w:rFonts w:ascii="Gill Sans" w:cs="Gill Sans" w:eastAsia="Gill Sans" w:hAnsi="Gill Sans"/>
          <w:sz w:val="22"/>
          <w:szCs w:val="22"/>
        </w:rPr>
        <w:t xml:space="preserve">The public-facing landing that introduces Doug, the book, and the brand. Clean, warm, authoritative. Answers “who is this?” and “why should I care?” and connects visitors to all other properties.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b/>
          <w:bCs/>
          <w:sz w:val="22"/>
          <w:szCs w:val="22"/>
        </w:rPr>
        <w:t xml:space="preserve">The Content Layer — </w:t>
      </w:r>
      <w:r>
        <w:rPr>
          <w:rFonts w:ascii="Gill Sans" w:cs="Gill Sans" w:eastAsia="Gill Sans" w:hAnsi="Gill Sans"/>
          <w:sz w:val="22"/>
          <w:szCs w:val="22"/>
        </w:rPr>
        <w:t xml:space="preserve">Blog posts, essays, curated video collections, a growing library of articles. Establishes The Common Tone as a destination, not just a storefront.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b/>
          <w:bCs/>
          <w:sz w:val="22"/>
          <w:szCs w:val="22"/>
        </w:rPr>
        <w:t xml:space="preserve">The Tool Layer: Pop Music Theory Hub — </w:t>
      </w:r>
      <w:r>
        <w:rPr>
          <w:rFonts w:ascii="Gill Sans" w:cs="Gill Sans" w:eastAsia="Gill Sans" w:hAnsi="Gill Sans"/>
          <w:sz w:val="22"/>
          <w:szCs w:val="22"/>
        </w:rPr>
        <w:t xml:space="preserve">An expanding collection of interactive tools that live as a dedicated section of the site. Exercise generators tied to textbook chapters, analysis tools (form mapping, harmonic overlays), generation tools (chord progressions that respect the book’s grammar), and eventually a searchable song database drawn from the research archive.</w:t>
      </w:r>
    </w:p>
    <w:p>
      <w:pPr>
        <w:pStyle w:val="Normal"/>
        <w:spacing w:after="100"/>
      </w:pP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</w:tblGrid>
      <w:tr>
        <w:tc>
          <w:tcPr>
            <w:tcW w:type="dxa" w:w="6900"/>
            <w:tcBorders>
              <w:top w:val="none" w:sz="0"/>
              <w:left w:val="single" w:color="D4A843" w:sz="76"/>
              <w:bottom w:val="none" w:sz="0"/>
              <w:right w:val="none" w:sz="0"/>
            </w:tcBorders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pPr>
              <w:spacing w:after="60"/>
            </w:pPr>
            <w:r>
              <w:rPr>
                <w:rFonts w:ascii="Gill Sans" w:cs="Gill Sans" w:eastAsia="Gill Sans" w:hAnsi="Gill Sans"/>
                <w:b/>
                <w:bCs/>
                <w:sz w:val="22"/>
                <w:szCs w:val="22"/>
              </w:rPr>
              <w:t xml:space="preserve">The Song Database Opportunity</w:t>
            </w:r>
          </w:p>
          <w:p>
            <w:pPr>
              <w:spacing w:after="40" w:line="240"/>
            </w:pPr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The research archive contains detailed analytical entries for hundreds of songs. If made public and searchable, this becomes a powerful discovery engine — people Google song analyses constantly and mostly find shallow results.</w:t>
            </w:r>
          </w:p>
          <w:p>
            <w:pPr>
              <w:spacing w:after="40" w:line="240"/>
            </w:pPr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Someone searching “Radiohead Creep chord analysis” lands on a rich, thoughtful entry — and now they’re in the ecosystem.</w:t>
            </w:r>
          </w:p>
        </w:tc>
      </w:tr>
    </w:tbl>
    <w:p>
      <w:pPr>
        <w:pStyle w:val="Normal"/>
        <w:spacing w:after="200"/>
      </w:pPr>
    </w:p>
    <w:p>
      <w:pPr>
        <w:pStyle w:val="Heading1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40"/>
          <w:szCs w:val="40"/>
        </w:rPr>
        <w:t xml:space="preserve">Where We Need Help</w:t>
      </w:r>
    </w:p>
    <w:p>
      <w:pPr>
        <w:pStyle w:val="Normal"/>
        <w:spacing w:after="120" w:line="360"/>
      </w:pPr>
      <w:r>
        <w:rPr>
          <w:rFonts w:ascii="Gill Sans" w:cs="Gill Sans" w:eastAsia="Gill Sans" w:hAnsi="Gill Sans"/>
          <w:sz w:val="22"/>
          <w:szCs w:val="22"/>
        </w:rPr>
        <w:t xml:space="preserve">The intellectual identity, the voice, the content architecture, and the enterprise structure are well defined. What the project needs from a marketing partner:</w:t>
      </w:r>
    </w:p>
    <w:p>
      <w:pPr>
        <w:pStyle w:val="Heading3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26"/>
          <w:szCs w:val="26"/>
        </w:rPr>
        <w:t xml:space="preserve">Brand Development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Logo and wordmark design that embodies the brand’s warm scholarly identity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Platform-specific visual templates (YouTube, Instagram, Substack, X, website)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Finalized color palette confirmation</w:t>
      </w:r>
    </w:p>
    <w:p>
      <w:pPr>
        <w:pStyle w:val="Heading3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26"/>
          <w:szCs w:val="26"/>
        </w:rPr>
        <w:t xml:space="preserve">Audience Strategy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Identifying and reaching the primary audiences: university music students and faculty, self-taught musicians, songwriters and producers, music-curious general audience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Platform-specific growth strategy (which platform gets investment first?)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SEO and discoverability for the website and song database</w:t>
      </w:r>
    </w:p>
    <w:p>
      <w:pPr>
        <w:pStyle w:val="Heading3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26"/>
          <w:szCs w:val="26"/>
        </w:rPr>
        <w:t xml:space="preserve">Launch and Campaign Strategy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Coordinated launch plan as properties come online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Framework for the organic campaign model — how to operationalize development-driven content waves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Social media growth strategy that respects the brand’s quality-over-quantity ethos</w:t>
      </w:r>
    </w:p>
    <w:p>
      <w:pPr>
        <w:pStyle w:val="Heading3"/>
      </w:pPr>
      <w:r>
        <w:rPr>
          <w:rFonts w:ascii="Futura Condensed ExtraBold" w:cs="Futura Condensed ExtraBold" w:eastAsia="Futura Condensed ExtraBold" w:hAnsi="Futura Condensed ExtraBold"/>
          <w:b w:val="false"/>
          <w:bCs w:val="false"/>
          <w:sz w:val="26"/>
          <w:szCs w:val="26"/>
        </w:rPr>
        <w:t xml:space="preserve">Business Model Guidance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Pop Music Theory Hub: free tools as a discovery engine, freemium, bundled with textbook, or hybrid?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Substack: free, paid, or hybrid tiers?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Gill Sans" w:cs="Gill Sans" w:eastAsia="Gill Sans" w:hAnsi="Gill Sans"/>
          <w:sz w:val="22"/>
          <w:szCs w:val="22"/>
        </w:rPr>
        <w:t xml:space="preserve">Website monetization and sustainability model</w:t>
      </w:r>
    </w:p>
    <w:p>
      <w:pPr>
        <w:pStyle w:val="Normal"/>
        <w:spacing w:after="400"/>
      </w:pPr>
    </w:p>
    <w:p>
      <w:pPr>
        <w:spacing w:after="120"/>
        <w:jc w:val="center"/>
      </w:pPr>
      <w:r>
        <w:rPr>
          <w:rFonts w:ascii="Gill Sans" w:cs="Gill Sans" w:eastAsia="Gill Sans" w:hAnsi="Gill Sans"/>
          <w:color w:val="D4A843"/>
          <w:sz w:val="22"/>
          <w:szCs w:val="22"/>
        </w:rPr>
        <w:t xml:space="preserve">— — —</w:t>
      </w:r>
    </w:p>
    <w:p>
      <w:pPr>
        <w:spacing w:after="60"/>
        <w:jc w:val="center"/>
      </w:pPr>
      <w:r>
        <w:rPr>
          <w:rFonts w:ascii="Gill Sans" w:cs="Gill Sans" w:eastAsia="Gill Sans" w:hAnsi="Gill Sans"/>
          <w:sz w:val="22"/>
          <w:szCs w:val="22"/>
        </w:rPr>
        <w:t xml:space="preserve">Doug Smith — thecommontone@gmail.com</w:t>
      </w:r>
    </w:p>
    <w:p>
      <w:pPr>
        <w:spacing w:after="60"/>
        <w:jc w:val="center"/>
      </w:pPr>
      <w:r>
        <w:rPr>
          <w:rFonts w:ascii="Gill Sans" w:cs="Gill Sans" w:eastAsia="Gill Sans" w:hAnsi="Gill Sans"/>
          <w:color w:val="4A4A6A"/>
          <w:sz w:val="22"/>
          <w:szCs w:val="22"/>
        </w:rPr>
        <w:t xml:space="preserve">thecommontone.com  |  @thecommontone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ill Sans" w:cs="Gill Sans" w:eastAsia="Gill Sans" w:hAnsi="Gill Sans"/>
        <w:color w:val="4A4A6A"/>
        <w:sz w:val="16"/>
        <w:szCs w:val="16"/>
      </w:rPr>
      <w:t xml:space="preserve">Confidential — Prepared for Marketing Discussion — April 2026 — Page </w:t>
    </w:r>
    <w:r>
      <w:rPr>
        <w:rFonts w:ascii="Gill Sans" w:cs="Gill Sans" w:eastAsia="Gill Sans" w:hAnsi="Gill Sans"/>
        <w:color w:val="4A4A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ill Sans" w:cs="Gill Sans" w:eastAsia="Gill Sans" w:hAnsi="Gill Sans"/>
        <w:i/>
        <w:iCs/>
        <w:color w:val="4A4A6A"/>
        <w:sz w:val="18"/>
        <w:szCs w:val="18"/>
      </w:rPr>
      <w:t xml:space="preserve">The Common Tone — Brand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ill Sans" w:cs="Gill Sans" w:eastAsia="Gill Sans" w:hAnsi="Gill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360"/>
    </w:pPr>
    <w:rPr>
      <w:rFonts w:ascii="Gill Sans" w:cs="Gill Sans" w:eastAsia="Gill Sans" w:hAnsi="Gill Sans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360" w:before="0"/>
      <w:outlineLvl w:val="0"/>
    </w:pPr>
    <w:rPr>
      <w:rFonts w:ascii="Futura Condensed ExtraBold" w:cs="Futura Condensed ExtraBold" w:eastAsia="Futura Condensed ExtraBold" w:hAnsi="Futura Condensed ExtraBold"/>
      <w:b w:val="false"/>
      <w:bCs w:val="fals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40" w:before="480"/>
      <w:outlineLvl w:val="1"/>
    </w:pPr>
    <w:rPr>
      <w:rFonts w:ascii="Futura Condensed ExtraBold" w:cs="Futura Condensed ExtraBold" w:eastAsia="Futura Condensed ExtraBold" w:hAnsi="Futura Condensed ExtraBold"/>
      <w:b w:val="false"/>
      <w:bCs w:val="false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80" w:before="360"/>
      <w:outlineLvl w:val="2"/>
    </w:pPr>
    <w:rPr>
      <w:rFonts w:ascii="Futura Condensed ExtraBold" w:cs="Futura Condensed ExtraBold" w:eastAsia="Futura Condensed ExtraBold" w:hAnsi="Futura Condensed ExtraBold"/>
      <w:b w:val="false"/>
      <w:bCs w:val="fals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2026-04-06T19:50:57.005Z</dcterms:created>
  <dcterms:modified xsi:type="dcterms:W3CDTF">2026-04-06T19:50:57.005Z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