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Futura Condensed ExtraBold" w:cs="Futura Condensed ExtraBold" w:eastAsia="Futura Condensed ExtraBold" w:hAnsi="Futura Condensed ExtraBold"/>
          <w:b w:val="false"/>
          <w:bCs w:val="false"/>
          <w:sz w:val="40"/>
          <w:szCs w:val="40"/>
        </w:rPr>
        <w:t xml:space="preserve">The Plagal Paradigm</w:t>
      </w:r>
    </w:p>
    <w:p>
      <w:pPr>
        <w:pStyle w:val="Normal"/>
        <w:spacing w:after="60"/>
      </w:pPr>
      <w:r>
        <w:rPr>
          <w:rFonts w:ascii="Gill Sans" w:cs="Gill Sans" w:eastAsia="Gill Sans" w:hAnsi="Gill Sans"/>
          <w:i/>
          <w:iCs/>
          <w:sz w:val="26"/>
          <w:szCs w:val="26"/>
        </w:rPr>
        <w:t xml:space="preserve">On the Subdominant's Place of Honour</w:t>
      </w:r>
    </w:p>
    <w:p>
      <w:pPr>
        <w:pStyle w:val="Normal"/>
        <w:spacing w:after="360"/>
      </w:pPr>
      <w:r>
        <w:rPr>
          <w:rFonts w:ascii="Gill Sans" w:cs="Gill Sans" w:eastAsia="Gill Sans" w:hAnsi="Gill Sans"/>
          <w:sz w:val="22"/>
          <w:szCs w:val="22"/>
        </w:rPr>
        <w:t xml:space="preserve">Doug Smith</w:t>
      </w:r>
    </w:p>
    <w:p>
      <w:pPr>
        <w:pStyle w:val="Normal"/>
        <w:pBdr>
          <w:bottom w:val="single" w:color="CCCCCC" w:sz="4" w:space="6"/>
        </w:pBdr>
        <w:spacing w:after="240"/>
      </w:pPr>
      <w:r>
        <w:t xml:space="preserve"/>
      </w:r>
    </w:p>
    <w:p>
      <w:pPr>
        <w:pStyle w:val="Heading2"/>
      </w:pPr>
      <w:r>
        <w:rPr>
          <w:rFonts w:ascii="Futura Condensed ExtraBold" w:cs="Futura Condensed ExtraBold" w:eastAsia="Futura Condensed ExtraBold" w:hAnsi="Futura Condensed ExtraBold"/>
          <w:b w:val="false"/>
          <w:bCs w:val="false"/>
          <w:sz w:val="32"/>
          <w:szCs w:val="32"/>
        </w:rPr>
        <w:t xml:space="preserve">I.  Languages Evolve</w:t>
      </w:r>
    </w:p>
    <w:p>
      <w:pPr>
        <w:pStyle w:val="Normal"/>
      </w:pPr>
      <w:r>
        <w:rPr>
          <w:rFonts w:ascii="Gill Sans" w:cs="Gill Sans" w:eastAsia="Gill Sans" w:hAnsi="Gill Sans"/>
          <w:i w:val="false"/>
          <w:iCs w:val="false"/>
          <w:sz w:val="22"/>
          <w:szCs w:val="22"/>
        </w:rPr>
        <w:t xml:space="preserve">Musical practices, like languages, evolve. Over time, some very fundamental things shift and change in our language — and so it is with our musical language. This essay is about one of those shifts: the rise of what I call the Plagal Paradigm.</w:t>
      </w:r>
    </w:p>
    <w:p>
      <w:pPr>
        <w:pStyle w:val="Normal"/>
      </w:pPr>
      <w:r>
        <w:rPr>
          <w:rFonts w:ascii="Gill Sans" w:cs="Gill Sans" w:eastAsia="Gill Sans" w:hAnsi="Gill Sans"/>
          <w:i w:val="false"/>
          <w:iCs w:val="false"/>
          <w:sz w:val="22"/>
          <w:szCs w:val="22"/>
        </w:rPr>
        <w:t xml:space="preserve">The story has a useful analogy. Old English — like modern German, Latin, or Russian — was a highly inflected language. Its nouns carried case endings that identified their grammatical role: nominative, accusative, genitive, dative. Word order was relatively free because the endings did the work. Over the centuries, those endings dropped away. The contact of Anglo-Saxon with Old Norse during the Danelaw period likely accelerated the process: two peoples speaking similar but not identical languages, finding the common root, casting away what differed. The result was modern English — grammatically simpler in some ways, but compensating with strict word order and an elaborate system of prepositions. We can still say the same things. We just say them differently, and they sound different than they used to.</w:t>
      </w:r>
    </w:p>
    <w:p>
      <w:pPr>
        <w:pStyle w:val="Normal"/>
      </w:pPr>
      <w:r>
        <w:rPr>
          <w:rFonts w:ascii="Gill Sans" w:cs="Gill Sans" w:eastAsia="Gill Sans" w:hAnsi="Gill Sans"/>
          <w:i w:val="false"/>
          <w:iCs w:val="false"/>
          <w:sz w:val="22"/>
          <w:szCs w:val="22"/>
        </w:rPr>
        <w:t xml:space="preserve">Something analogous has happened in our musical language. The classical harmonic grammar was a highly inflected system: the dominant seventh chord carried resolution obligations; the leading tone had to rise; the chordal seventh had to fall. Tension demanded release. The whole system was organised around the authentic cadence — the V→I motion — as the paradigm of closure. Everything pointed toward the dominant. Everything resolved through it.</w:t>
      </w:r>
    </w:p>
    <w:p>
      <w:pPr>
        <w:pStyle w:val="Normal"/>
      </w:pPr>
      <w:r>
        <w:rPr>
          <w:rFonts w:ascii="Gill Sans" w:cs="Gill Sans" w:eastAsia="Gill Sans" w:hAnsi="Gill Sans"/>
          <w:i w:val="false"/>
          <w:iCs w:val="false"/>
          <w:sz w:val="22"/>
          <w:szCs w:val="22"/>
        </w:rPr>
        <w:t xml:space="preserve">Popular music, over the last century, has let those obligations relax. And as it did, something that was always present — always heard, always felt, but never properly named — became visible. The subdominant. The IV chord. The other side of tonal space. Not a newcomer. A neighbour we never introduced ourselves to.</w:t>
      </w:r>
    </w:p>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20"/>
              <w:left w:type="dxa" w:w="120"/>
              <w:bottom w:type="dxa" w:w="120"/>
              <w:right w:type="dxa" w:w="120"/>
            </w:tcMar>
          </w:tcPr>
          <w:p>
            <w:pPr>
              <w:spacing w:after="80"/>
            </w:pPr>
            <w:r>
              <w:rPr>
                <w:rFonts w:ascii="Gill Sans" w:cs="Gill Sans" w:eastAsia="Gill Sans" w:hAnsi="Gill Sans"/>
                <w:b/>
                <w:bCs/>
                <w:sz w:val="26"/>
                <w:szCs w:val="26"/>
              </w:rPr>
              <w:t xml:space="preserve">The Plagal Paradigm</w:t>
            </w:r>
          </w:p>
          <w:p>
            <w:pPr>
              <w:spacing w:after="60"/>
            </w:pPr>
            <w:r>
              <w:rPr>
                <w:rFonts w:ascii="Gill Sans" w:cs="Gill Sans" w:eastAsia="Gill Sans" w:hAnsi="Gill Sans"/>
                <w:sz w:val="22"/>
                <w:szCs w:val="22"/>
              </w:rPr>
              <w:t xml:space="preserve">The Plagal Paradigm names a fundamental shift in how we recognize the subdominant: not as a chord that merely prepares the dominant, but as a structural force in its own right — the yin to the dominant's yang. Complementary, not competing. Different, not deficient. This is not a simplification of classical harmony. It is an evolution, exactly as natural languages evolve when usage shifts the grammar.</w:t>
            </w:r>
          </w:p>
        </w:tc>
      </w:tr>
    </w:tbl>
    <w:p>
      <w:pPr>
        <w:pStyle w:val="Normal"/>
        <w:spacing w:after="60"/>
      </w:pPr>
      <w:r>
        <w:t xml:space="preserve"/>
      </w:r>
    </w:p>
    <w:p>
      <w:pPr>
        <w:pStyle w:val="Heading2"/>
      </w:pPr>
      <w:r>
        <w:rPr>
          <w:rFonts w:ascii="Futura Condensed ExtraBold" w:cs="Futura Condensed ExtraBold" w:eastAsia="Futura Condensed ExtraBold" w:hAnsi="Futura Condensed ExtraBold"/>
          <w:b w:val="false"/>
          <w:bCs w:val="false"/>
          <w:sz w:val="32"/>
          <w:szCs w:val="32"/>
        </w:rPr>
        <w:t xml:space="preserve">II.  Two Worlds, Two Forces</w:t>
      </w:r>
    </w:p>
    <w:p>
      <w:pPr>
        <w:pStyle w:val="Normal"/>
      </w:pPr>
      <w:r>
        <w:rPr>
          <w:rFonts w:ascii="Gill Sans" w:cs="Gill Sans" w:eastAsia="Gill Sans" w:hAnsi="Gill Sans"/>
          <w:i w:val="false"/>
          <w:iCs w:val="false"/>
          <w:sz w:val="22"/>
          <w:szCs w:val="22"/>
        </w:rPr>
        <w:t xml:space="preserve">To understand what the Plagal Paradigm is, you first need to feel the difference between the two harmonic worlds it defines.</w:t>
      </w:r>
    </w:p>
    <w:p>
      <w:pPr>
        <w:pStyle w:val="Normal"/>
      </w:pPr>
      <w:r>
        <w:rPr>
          <w:rFonts w:ascii="Gill Sans" w:cs="Gill Sans" w:eastAsia="Gill Sans" w:hAnsi="Gill Sans"/>
          <w:i w:val="false"/>
          <w:iCs w:val="false"/>
          <w:sz w:val="22"/>
          <w:szCs w:val="22"/>
        </w:rPr>
        <w:t xml:space="preserve">The authentic cadence works through obligation. When a dominant seventh chord sounds — V7 — it incurs a harmonic debt. The leading tone, sitting one semitone below the tonic, strains upward. The chordal seventh, sitting above, presses down. The resolution to I is not a choice; it is a grammatical requirement, as binding as a case ending. V→I is a transaction: debt incurred, debt discharged. You left home. You came back. The power of the authentic cadence depends entirely on the departure. To feel the resolution, you first have to leave.</w:t>
      </w:r>
    </w:p>
    <w:p>
      <w:pPr>
        <w:pStyle w:val="Normal"/>
      </w:pPr>
      <w:r>
        <w:rPr>
          <w:rFonts w:ascii="Gill Sans" w:cs="Gill Sans" w:eastAsia="Gill Sans" w:hAnsi="Gill Sans"/>
          <w:i w:val="false"/>
          <w:iCs w:val="false"/>
          <w:sz w:val="22"/>
          <w:szCs w:val="22"/>
        </w:rPr>
        <w:t xml:space="preserve">The plagal cadence works through something different.</w:t>
      </w:r>
    </w:p>
    <w:p>
      <w:pPr>
        <w:pStyle w:val="Normal"/>
      </w:pPr>
      <w:r>
        <w:rPr>
          <w:rFonts w:ascii="Gill Sans" w:cs="Gill Sans" w:eastAsia="Gill Sans" w:hAnsi="Gill Sans"/>
          <w:i w:val="false"/>
          <w:iCs w:val="false"/>
          <w:sz w:val="22"/>
          <w:szCs w:val="22"/>
        </w:rPr>
        <w:t xml:space="preserve">Not obligation.</w:t>
      </w:r>
    </w:p>
    <w:p>
      <w:pPr>
        <w:spacing w:after="60" w:before="0"/>
        <w:ind w:left="720"/>
      </w:pPr>
      <w:r>
        <w:rPr>
          <w:rFonts w:ascii="Gill Sans" w:cs="Gill Sans" w:eastAsia="Gill Sans" w:hAnsi="Gill Sans"/>
          <w:i/>
          <w:iCs/>
          <w:sz w:val="22"/>
          <w:szCs w:val="22"/>
        </w:rPr>
        <w:t xml:space="preserve">"An embrace. A warm embrace of home and hearth."</w:t>
      </w:r>
    </w:p>
    <w:p>
      <w:pPr>
        <w:spacing w:after="120" w:before="0"/>
        <w:ind w:left="720"/>
      </w:pPr>
      <w:r>
        <w:rPr>
          <w:rFonts w:ascii="Gill Sans" w:cs="Gill Sans" w:eastAsia="Gill Sans" w:hAnsi="Gill Sans"/>
          <w:sz w:val="20"/>
          <w:szCs w:val="20"/>
        </w:rPr>
        <w:t xml:space="preserve">— Doug Smith</w:t>
      </w:r>
    </w:p>
    <w:p>
      <w:pPr>
        <w:pStyle w:val="Normal"/>
      </w:pPr>
      <w:r>
        <w:rPr>
          <w:rFonts w:ascii="Gill Sans" w:cs="Gill Sans" w:eastAsia="Gill Sans" w:hAnsi="Gill Sans"/>
          <w:i w:val="false"/>
          <w:iCs w:val="false"/>
          <w:sz w:val="22"/>
          <w:szCs w:val="22"/>
        </w:rPr>
        <w:t xml:space="preserve">This is not a metaphor layered onto the harmony. It is the acoustic truth stated in emotional language — and we can prove it precisely.</w:t>
      </w:r>
    </w:p>
    <w:p>
      <w:pPr>
        <w:pStyle w:val="Heading2"/>
      </w:pPr>
      <w:r>
        <w:rPr>
          <w:rFonts w:ascii="Futura Condensed ExtraBold" w:cs="Futura Condensed ExtraBold" w:eastAsia="Futura Condensed ExtraBold" w:hAnsi="Futura Condensed ExtraBold"/>
          <w:b w:val="false"/>
          <w:bCs w:val="false"/>
          <w:sz w:val="32"/>
          <w:szCs w:val="32"/>
        </w:rPr>
        <w:t xml:space="preserve">III.  The Proof</w:t>
      </w:r>
    </w:p>
    <w:p>
      <w:pPr>
        <w:pStyle w:val="Normal"/>
      </w:pPr>
      <w:r>
        <w:rPr>
          <w:rFonts w:ascii="Gill Sans" w:cs="Gill Sans" w:eastAsia="Gill Sans" w:hAnsi="Gill Sans"/>
          <w:i w:val="false"/>
          <w:iCs w:val="false"/>
          <w:sz w:val="22"/>
          <w:szCs w:val="22"/>
        </w:rPr>
        <w:t xml:space="preserve">The major scale has exactly two semitone steps. In C major, they are E–F (mi–fa) and B–C (ti–do). These two semitones are the hinges of the two harmonic axes, and they work in opposite ways.</w:t>
      </w:r>
    </w:p>
    <w:p>
      <w:pPr>
        <w:pStyle w:val="Normal"/>
      </w:pPr>
      <w:r>
        <w:rPr>
          <w:rFonts w:ascii="Gill Sans" w:cs="Gill Sans" w:eastAsia="Gill Sans" w:hAnsi="Gill Sans"/>
          <w:i w:val="false"/>
          <w:iCs w:val="false"/>
          <w:sz w:val="22"/>
          <w:szCs w:val="22"/>
        </w:rPr>
        <w:t xml:space="preserve">When tonic moves to dominant — the I→V motion — the music crosses the ti–do hinge. Look at what happens to the tonic pitch: the note C, which was the root of the tonic chord, disappears entirely from the dominant chord. G major is G–B–D. There is no C. This is the mechanism of authentic cadence tension. The tonic note — home — is the very thing that is gone. Its absence is the longing. Its return is the resolution. To feel V→I as a resolution, the tonic must first be absent.</w:t>
      </w:r>
    </w:p>
    <w:p>
      <w:pPr>
        <w:pStyle w:val="Normal"/>
      </w:pPr>
      <w:r>
        <w:rPr>
          <w:rFonts w:ascii="Gill Sans" w:cs="Gill Sans" w:eastAsia="Gill Sans" w:hAnsi="Gill Sans"/>
          <w:i w:val="false"/>
          <w:iCs w:val="false"/>
          <w:sz w:val="22"/>
          <w:szCs w:val="22"/>
        </w:rPr>
        <w:t xml:space="preserve">When tonic moves to subdominant — the I→IV motion — the music crosses the mi–fa hinge. Look at what happens to the tonic pitch now: C is present in the subdominant chord. F major is F–A–C. C is the fifth. The only motion is the third scale degree stepping one semitone up to the fourth — mi rising to fa — and then gently back. The tonic plane is unbroken throughout. You moved, but you never left.</w:t>
      </w:r>
    </w:p>
    <w:p>
      <w:pPr>
        <w:pStyle w:val="Normal"/>
        <w:spacing w:after="60"/>
      </w:pPr>
      <w:r>
        <w:t xml:space="preserve"/>
      </w:r>
    </w:p>
    <w:tbl>
      <w:tblPr>
        <w:tblW w:type="dxa" w:w="690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6900"/>
      </w:tblGrid>
      <w:tr>
        <w:tc>
          <w:tcPr>
            <w:tcW w:type="dxa" w:w="6900"/>
            <w:tcBorders>
              <w:top w:val="none" w:sz="0"/>
              <w:left w:val="single" w:color="7B2D8E" w:sz="76"/>
              <w:bottom w:val="none" w:sz="0"/>
              <w:right w:val="none" w:sz="0"/>
            </w:tcBorders>
            <w:tcMar>
              <w:top w:type="dxa" w:w="160"/>
              <w:left w:type="dxa" w:w="240"/>
              <w:bottom w:type="dxa" w:w="160"/>
              <w:right w:type="dxa" w:w="120"/>
            </w:tcMar>
          </w:tcPr>
          <w:p>
            <w:pPr>
              <w:spacing w:after="60"/>
            </w:pPr>
            <w:r>
              <w:rPr>
                <w:rFonts w:ascii="Gill Sans" w:cs="Gill Sans" w:eastAsia="Gill Sans" w:hAnsi="Gill Sans"/>
                <w:b/>
                <w:bCs/>
                <w:sz w:val="22"/>
                <w:szCs w:val="22"/>
              </w:rPr>
              <w:t xml:space="preserve">Pedestal of Pedantry: The Two Semitone Hinges</w:t>
            </w:r>
          </w:p>
          <w:p>
            <w:pPr>
              <w:spacing w:after="40" w:line="240"/>
            </w:pPr>
            <w:r>
              <w:rPr>
                <w:rFonts w:ascii="Gill Sans" w:cs="Gill Sans" w:eastAsia="Gill Sans" w:hAnsi="Gill Sans"/>
                <w:sz w:val="20"/>
                <w:szCs w:val="20"/>
              </w:rPr>
              <w:t xml:space="preserve">The major scale contains exactly two semitone (half-step) intervals: mi–fa and ti–do. These are the hinges of the two harmonic axes. In C major: ti–do (B–C) is the leading tone — the engine of dominant tension. Mi–fa (E–F) is the other semitone — the gentle step that defines the plagal motion. Each semitone is the 'hinge' of one of the two great harmonic poles of tonal music. They are structurally symmetrical and acoustically opposite: one removes the tonic note; the other keeps it.</w:t>
            </w:r>
          </w:p>
        </w:tc>
      </w:tr>
    </w:tbl>
    <w:p>
      <w:pPr>
        <w:pStyle w:val="Normal"/>
        <w:spacing w:after="60"/>
      </w:pPr>
      <w:r>
        <w:t xml:space="preserve"/>
      </w:r>
    </w:p>
    <w:p>
      <w:pPr>
        <w:spacing w:after="60" w:before="0"/>
        <w:ind w:left="720"/>
      </w:pPr>
      <w:r>
        <w:rPr>
          <w:rFonts w:ascii="Gill Sans" w:cs="Gill Sans" w:eastAsia="Gill Sans" w:hAnsi="Gill Sans"/>
          <w:i/>
          <w:iCs/>
          <w:sz w:val="22"/>
          <w:szCs w:val="22"/>
        </w:rPr>
        <w:t xml:space="preserve">"Having never lost the feeling of home. Oh, Auntie Em — there's no place like home."</w:t>
      </w:r>
    </w:p>
    <w:p>
      <w:pPr>
        <w:spacing w:after="120" w:before="0"/>
        <w:ind w:left="720"/>
      </w:pPr>
      <w:r>
        <w:rPr>
          <w:rFonts w:ascii="Gill Sans" w:cs="Gill Sans" w:eastAsia="Gill Sans" w:hAnsi="Gill Sans"/>
          <w:sz w:val="20"/>
          <w:szCs w:val="20"/>
        </w:rPr>
        <w:t xml:space="preserve">— Doug Smith</w:t>
      </w:r>
    </w:p>
    <w:p>
      <w:pPr>
        <w:pStyle w:val="Normal"/>
      </w:pPr>
      <w:r>
        <w:rPr>
          <w:rFonts w:ascii="Gill Sans" w:cs="Gill Sans" w:eastAsia="Gill Sans" w:hAnsi="Gill Sans"/>
          <w:i w:val="false"/>
          <w:iCs w:val="false"/>
          <w:sz w:val="22"/>
          <w:szCs w:val="22"/>
        </w:rPr>
        <w:t xml:space="preserve">These are not two styles of the same thing. They are structural opposites, hinged on the two semitones of the major scale, facing in opposite directions, doing opposite things with the most fundamental pitch in the key. The authentic cadence requires the tonic's absence to work. The plagal cadence requires the tonic's presence. The dominant is a creditor calling in a debt. The subdominant is a grandmother opening her arms.</w:t>
      </w:r>
    </w:p>
    <w:p>
      <w:pPr>
        <w:pStyle w:val="Heading2"/>
      </w:pPr>
      <w:r>
        <w:rPr>
          <w:rFonts w:ascii="Futura Condensed ExtraBold" w:cs="Futura Condensed ExtraBold" w:eastAsia="Futura Condensed ExtraBold" w:hAnsi="Futura Condensed ExtraBold"/>
          <w:b w:val="false"/>
          <w:bCs w:val="false"/>
          <w:sz w:val="32"/>
          <w:szCs w:val="32"/>
        </w:rPr>
        <w:t xml:space="preserve">IV.  The Evidence Piles Up</w:t>
      </w:r>
    </w:p>
    <w:p>
      <w:pPr>
        <w:pStyle w:val="Normal"/>
      </w:pPr>
      <w:r>
        <w:rPr>
          <w:rFonts w:ascii="Gill Sans" w:cs="Gill Sans" w:eastAsia="Gill Sans" w:hAnsi="Gill Sans"/>
          <w:i w:val="false"/>
          <w:iCs w:val="false"/>
          <w:sz w:val="22"/>
          <w:szCs w:val="22"/>
        </w:rPr>
        <w:t xml:space="preserve">If the Plagal Paradigm names a real phenomenon, the evidence should appear in multiple places.</w:t>
      </w:r>
    </w:p>
    <w:p>
      <w:pPr>
        <w:pStyle w:val="Normal"/>
      </w:pPr>
      <w:r>
        <w:rPr>
          <w:rFonts w:ascii="Gill Sans" w:cs="Gill Sans" w:eastAsia="Gill Sans" w:hAnsi="Gill Sans"/>
          <w:i w:val="false"/>
          <w:iCs w:val="false"/>
          <w:sz w:val="22"/>
          <w:szCs w:val="22"/>
        </w:rPr>
        <w:t xml:space="preserve">It does.</w:t>
      </w:r>
    </w:p>
    <w:p>
      <w:pPr>
        <w:pStyle w:val="Normal"/>
      </w:pPr>
      <w:r>
        <w:rPr>
          <w:rFonts w:ascii="Gill Sans" w:cs="Gill Sans" w:eastAsia="Gill Sans" w:hAnsi="Gill Sans"/>
          <w:i w:val="false"/>
          <w:iCs w:val="false"/>
          <w:sz w:val="22"/>
          <w:szCs w:val="22"/>
        </w:rPr>
        <w:t xml:space="preserve">Consider Johann Sebastian Bach. His fugues, when returning to the home key after a developmental passage, will often briefly touch the subdominant before settling back to the tonic. Never the dominant — to modulate toward V during a recapitulation would be to climb a hill when you are trying to come home. The subdominant is different: easy, light, compatible with a tonic pedal underneath. You share the home note throughout. A diversion — light and fluffy and fun. Bach knew the subdominant neighbourhood was safe. He visited it often.</w:t>
      </w:r>
    </w:p>
    <w:p>
      <w:pPr>
        <w:pStyle w:val="Normal"/>
      </w:pPr>
      <w:r>
        <w:rPr>
          <w:rFonts w:ascii="Gill Sans" w:cs="Gill Sans" w:eastAsia="Gill Sans" w:hAnsi="Gill Sans"/>
          <w:i w:val="false"/>
          <w:iCs w:val="false"/>
          <w:sz w:val="22"/>
          <w:szCs w:val="22"/>
        </w:rPr>
        <w:t xml:space="preserve">Consider the Amen cadence. IV→I has been the cadence of sacred closure for centuries. Church music chose it for a reason: the plagal motion does not resolve tension so much as confirm warmth. It does not discharge a debt. It offers a blessing. The word 'Amen' is itself a warm embrace — a ratification, not a resolution.</w:t>
      </w:r>
    </w:p>
    <w:p>
      <w:pPr>
        <w:pStyle w:val="Normal"/>
        <w:spacing w:after="60"/>
      </w:pPr>
      <w:r>
        <w:t xml:space="preserve"/>
      </w:r>
    </w:p>
    <w:tbl>
      <w:tblPr>
        <w:tblW w:type="dxa" w:w="6900"/>
        <w:tblBorders>
          <w:top w:val="single" w:color="auto" w:sz="4"/>
          <w:left w:val="single" w:color="auto" w:sz="4"/>
          <w:bottom w:val="single" w:color="auto" w:sz="4"/>
          <w:right w:val="single" w:color="auto" w:sz="4"/>
          <w:insideH w:val="single" w:color="auto" w:sz="4"/>
          <w:insideV w:val="single" w:color="auto" w:sz="4"/>
        </w:tblBorders>
        <w:tblCellMar>
          <w:top w:type="dxa" w:w="240"/>
          <w:bottom w:type="dxa" w:w="240"/>
        </w:tblCellMar>
      </w:tblPr>
      <w:tblGrid>
        <w:gridCol w:w="6900"/>
      </w:tblGrid>
      <w:tr>
        <w:tc>
          <w:tcPr>
            <w:tcW w:type="dxa" w:w="6900"/>
            <w:tcBorders>
              <w:top w:val="none" w:sz="0"/>
              <w:left w:val="single" w:color="2E75B6" w:sz="76"/>
              <w:bottom w:val="none" w:sz="0"/>
              <w:right w:val="none" w:sz="0"/>
            </w:tcBorders>
            <w:tcMar>
              <w:top w:type="dxa" w:w="160"/>
              <w:left w:type="dxa" w:w="240"/>
              <w:bottom w:type="dxa" w:w="160"/>
              <w:right w:type="dxa" w:w="120"/>
            </w:tcMar>
          </w:tcPr>
          <w:p>
            <w:pPr>
              <w:spacing w:after="60"/>
            </w:pPr>
            <w:r>
              <w:rPr>
                <w:rFonts w:ascii="Gill Sans" w:cs="Gill Sans" w:eastAsia="Gill Sans" w:hAnsi="Gill Sans"/>
                <w:b/>
                <w:bCs/>
                <w:sz w:val="22"/>
                <w:szCs w:val="22"/>
              </w:rPr>
              <w:t xml:space="preserve">Etymology: Amen</w:t>
            </w:r>
          </w:p>
          <w:p>
            <w:pPr>
              <w:spacing w:after="40" w:line="240"/>
            </w:pPr>
            <w:r>
              <w:rPr>
                <w:rFonts w:ascii="Gill Sans" w:cs="Gill Sans" w:eastAsia="Gill Sans" w:hAnsi="Gill Sans"/>
                <w:sz w:val="20"/>
                <w:szCs w:val="20"/>
              </w:rPr>
              <w:t xml:space="preserve">From Hebrew אָמֵן (āmēn) — 'so be it'; 'truly'; 'it is firm.' A word of affirmation and ratification, not of arrival from a distance. The Amen cadence (IV→I) is its perfect musical expression: not a return from absence but a confirmation of presence. The home note was there the whole time.</w:t>
            </w:r>
          </w:p>
        </w:tc>
      </w:tr>
    </w:tbl>
    <w:p>
      <w:pPr>
        <w:pStyle w:val="Normal"/>
        <w:spacing w:after="60"/>
      </w:pPr>
      <w:r>
        <w:t xml:space="preserve"/>
      </w:r>
    </w:p>
    <w:p>
      <w:pPr>
        <w:pStyle w:val="Normal"/>
      </w:pPr>
      <w:r>
        <w:rPr>
          <w:rFonts w:ascii="Gill Sans" w:cs="Gill Sans" w:eastAsia="Gill Sans" w:hAnsi="Gill Sans"/>
          <w:i w:val="false"/>
          <w:iCs w:val="false"/>
          <w:sz w:val="22"/>
          <w:szCs w:val="22"/>
        </w:rPr>
        <w:t xml:space="preserve">Consider the corpus. A computational analysis of over a thousand popular songs reveals something striking: secondary dominants applied to the subdominant (the chord I7 moving to IV) appear in the data more than three times as often as secondary dominants applied to the dominant (II7 moving to V). The ratio is 3.3 to 1 in favour of tonicizing IV over V. Popular music, in its bones, gravitates toward the subdominant. The data confirms what the ear already knows.</w:t>
      </w:r>
    </w:p>
    <w:p>
      <w:pPr>
        <w:pStyle w:val="Normal"/>
      </w:pPr>
      <w:r>
        <w:rPr>
          <w:rFonts w:ascii="Gill Sans" w:cs="Gill Sans" w:eastAsia="Gill Sans" w:hAnsi="Gill Sans"/>
          <w:i w:val="false"/>
          <w:iCs w:val="false"/>
          <w:sz w:val="22"/>
          <w:szCs w:val="22"/>
        </w:rPr>
        <w:t xml:space="preserve">Consider the structure of IV and V themselves. The subdominant sits a perfect fifth below the tonic (or a perfect fourth above). The dominant sits a perfect fifth above. They are mirrors — the same distance in opposite directions. IV leans inward, centripetal, toward home. V leans outward, centrifugal, away. Pop music's preference for IV is a preference for the inward mirror. The embrace over the obligation.</w:t>
      </w:r>
    </w:p>
    <w:p>
      <w:pPr>
        <w:pStyle w:val="Heading2"/>
      </w:pPr>
      <w:r>
        <w:rPr>
          <w:rFonts w:ascii="Futura Condensed ExtraBold" w:cs="Futura Condensed ExtraBold" w:eastAsia="Futura Condensed ExtraBold" w:hAnsi="Futura Condensed ExtraBold"/>
          <w:b w:val="false"/>
          <w:bCs w:val="false"/>
          <w:sz w:val="32"/>
          <w:szCs w:val="32"/>
        </w:rPr>
        <w:t xml:space="preserve">V.  A Creole Grammar</w:t>
      </w:r>
    </w:p>
    <w:p>
      <w:pPr>
        <w:pStyle w:val="Normal"/>
      </w:pPr>
      <w:r>
        <w:rPr>
          <w:rFonts w:ascii="Gill Sans" w:cs="Gill Sans" w:eastAsia="Gill Sans" w:hAnsi="Gill Sans"/>
          <w:i w:val="false"/>
          <w:iCs w:val="false"/>
          <w:sz w:val="22"/>
          <w:szCs w:val="22"/>
        </w:rPr>
        <w:t xml:space="preserve">Where did this shift come from? How does a musical language lose its case endings?</w:t>
      </w:r>
    </w:p>
    <w:p>
      <w:pPr>
        <w:pStyle w:val="Normal"/>
      </w:pPr>
      <w:r>
        <w:rPr>
          <w:rFonts w:ascii="Gill Sans" w:cs="Gill Sans" w:eastAsia="Gill Sans" w:hAnsi="Gill Sans"/>
          <w:i w:val="false"/>
          <w:iCs w:val="false"/>
          <w:sz w:val="22"/>
          <w:szCs w:val="22"/>
        </w:rPr>
        <w:t xml:space="preserve">The answer is not simple, and it is not purely European.</w:t>
      </w:r>
    </w:p>
    <w:p>
      <w:pPr>
        <w:pStyle w:val="Normal"/>
      </w:pPr>
      <w:r>
        <w:rPr>
          <w:rFonts w:ascii="Gill Sans" w:cs="Gill Sans" w:eastAsia="Gill Sans" w:hAnsi="Gill Sans"/>
          <w:i w:val="false"/>
          <w:iCs w:val="false"/>
          <w:sz w:val="22"/>
          <w:szCs w:val="22"/>
        </w:rPr>
        <w:t xml:space="preserve">The blues is not the language losing its case endings. The blues is a creole.</w:t>
      </w:r>
    </w:p>
    <w:p>
      <w:pPr>
        <w:pStyle w:val="Normal"/>
      </w:pPr>
      <w:r>
        <w:rPr>
          <w:rFonts w:ascii="Gill Sans" w:cs="Gill Sans" w:eastAsia="Gill Sans" w:hAnsi="Gill Sans"/>
          <w:i w:val="false"/>
          <w:iCs w:val="false"/>
          <w:sz w:val="22"/>
          <w:szCs w:val="22"/>
        </w:rPr>
        <w:t xml:space="preserve">A creole emerges when two languages come into sustained contact, produce a simplified working grammar — a pidgin — and then, when children grow up speaking that pidgin natively, develop into a full language in its own right. A true hybrid, with its own grammar, its own expressive range, two parent languages in its blood.</w:t>
      </w:r>
    </w:p>
    <w:p>
      <w:pPr>
        <w:pStyle w:val="Normal"/>
      </w:pPr>
      <w:r>
        <w:rPr>
          <w:rFonts w:ascii="Gill Sans" w:cs="Gill Sans" w:eastAsia="Gill Sans" w:hAnsi="Gill Sans"/>
          <w:i w:val="false"/>
          <w:iCs w:val="false"/>
          <w:sz w:val="22"/>
          <w:szCs w:val="22"/>
        </w:rPr>
        <w:t xml:space="preserve">The blues has two parents. On the harmonic side: the Western European framework of I, IV, and V — recognizable to any classically trained ear. On the melodic side: the minor pentatonic scale, inflected with blue notes, drawn from West African melodic tradition. These two landscapes do not, in classical theory, coexist. A major chord beneath a minor-pentatonic melody is a contradiction. In the blues, it is home.</w:t>
      </w:r>
    </w:p>
    <w:p>
      <w:pPr>
        <w:pStyle w:val="Normal"/>
      </w:pPr>
      <w:r>
        <w:rPr>
          <w:rFonts w:ascii="Gill Sans" w:cs="Gill Sans" w:eastAsia="Gill Sans" w:hAnsi="Gill Sans"/>
          <w:i w:val="false"/>
          <w:iCs w:val="false"/>
          <w:sz w:val="22"/>
          <w:szCs w:val="22"/>
        </w:rPr>
        <w:t xml:space="preserve">And then there is the I7 chord. In classical theory, the tonic seventh is unstable — it contains a tendency tone implying motion toward IV. No respectable classical phrase ends on I7. In the blues, the I7 is the tonic. Home has a minor seventh in it. Every chord does — I7, IV7, V7 — all carrying dominant quality, none providing classical repose. The tension is the texture, not a temporary departure from stability.</w:t>
      </w:r>
    </w:p>
    <w:p>
      <w:pPr>
        <w:pStyle w:val="Normal"/>
      </w:pPr>
      <w:r>
        <w:rPr>
          <w:rFonts w:ascii="Gill Sans" w:cs="Gill Sans" w:eastAsia="Gill Sans" w:hAnsi="Gill Sans"/>
          <w:i w:val="false"/>
          <w:iCs w:val="false"/>
          <w:sz w:val="22"/>
          <w:szCs w:val="22"/>
        </w:rPr>
        <w:t xml:space="preserve">The blues does not use the plagal embrace as a gesture. It lives there. It is the permanent address.</w:t>
      </w:r>
    </w:p>
    <w:p>
      <w:pPr>
        <w:pStyle w:val="Normal"/>
      </w:pPr>
      <w:r>
        <w:rPr>
          <w:rFonts w:ascii="Gill Sans" w:cs="Gill Sans" w:eastAsia="Gill Sans" w:hAnsi="Gill Sans"/>
          <w:i w:val="false"/>
          <w:iCs w:val="false"/>
          <w:sz w:val="22"/>
          <w:szCs w:val="22"/>
        </w:rPr>
        <w:t xml:space="preserve">As this creole grammar spread through rock and roll, soul, R&amp;B, and eventually the entire popular idiom, it brought its different relationship to harmonic authority with it. The obligatory resolution relaxed. The case endings dropped. The embrace remained.</w:t>
      </w:r>
    </w:p>
    <w:p>
      <w:pPr>
        <w:pStyle w:val="Heading2"/>
      </w:pPr>
      <w:r>
        <w:rPr>
          <w:rFonts w:ascii="Futura Condensed ExtraBold" w:cs="Futura Condensed ExtraBold" w:eastAsia="Futura Condensed ExtraBold" w:hAnsi="Futura Condensed ExtraBold"/>
          <w:b w:val="false"/>
          <w:bCs w:val="false"/>
          <w:sz w:val="32"/>
          <w:szCs w:val="32"/>
        </w:rPr>
        <w:t xml:space="preserve">VI.  Its Own Place of Honour</w:t>
      </w:r>
    </w:p>
    <w:p>
      <w:pPr>
        <w:pStyle w:val="Normal"/>
      </w:pPr>
      <w:r>
        <w:rPr>
          <w:rFonts w:ascii="Gill Sans" w:cs="Gill Sans" w:eastAsia="Gill Sans" w:hAnsi="Gill Sans"/>
          <w:i w:val="false"/>
          <w:iCs w:val="false"/>
          <w:sz w:val="22"/>
          <w:szCs w:val="22"/>
        </w:rPr>
        <w:t xml:space="preserve">Let me be plain about what the Plagal Paradigm is not claiming.</w:t>
      </w:r>
    </w:p>
    <w:p>
      <w:pPr>
        <w:pStyle w:val="Normal"/>
      </w:pPr>
      <w:r>
        <w:rPr>
          <w:rFonts w:ascii="Gill Sans" w:cs="Gill Sans" w:eastAsia="Gill Sans" w:hAnsi="Gill Sans"/>
          <w:i w:val="false"/>
          <w:iCs w:val="false"/>
          <w:sz w:val="22"/>
          <w:szCs w:val="22"/>
        </w:rPr>
        <w:t xml:space="preserve">It is not claiming that the authentic cadence is obsolete, or that the dominant has been deposed. We still understand that language. A well-placed perfect authentic cadence still does exactly what it has always done — discharges tension with authority and finality. That grammar is not dead. It is not even unwell.</w:t>
      </w:r>
    </w:p>
    <w:p>
      <w:pPr>
        <w:pStyle w:val="Normal"/>
      </w:pPr>
      <w:r>
        <w:rPr>
          <w:rFonts w:ascii="Gill Sans" w:cs="Gill Sans" w:eastAsia="Gill Sans" w:hAnsi="Gill Sans"/>
          <w:i w:val="false"/>
          <w:iCs w:val="false"/>
          <w:sz w:val="22"/>
          <w:szCs w:val="22"/>
        </w:rPr>
        <w:t xml:space="preserve">What the Plagal Paradigm asks is this: that we recognise what was always there. The dominant is not the only way to move in music land. Not everything has to be dominant. Not everything has to resolve through the leading tone's upward pull. The subdominant has its own internal logic, its own acoustic grounding, its own relationship to the tonic. It is not a deficient V. It is the yang to the dominant's yin — a different force, facing a different direction, doing different work. Plagalism persuades. Tonalism commands. Neither is better. Both are necessary.</w:t>
      </w:r>
    </w:p>
    <w:p>
      <w:pPr>
        <w:pStyle w:val="Normal"/>
      </w:pPr>
      <w:r>
        <w:rPr>
          <w:rFonts w:ascii="Gill Sans" w:cs="Gill Sans" w:eastAsia="Gill Sans" w:hAnsi="Gill Sans"/>
          <w:i w:val="false"/>
          <w:iCs w:val="false"/>
          <w:sz w:val="22"/>
          <w:szCs w:val="22"/>
        </w:rPr>
        <w:t xml:space="preserve">For too long, the music theory curriculum has treated IV as a chord that either prepares the dominant or leads to it. In the popular music tradition — the tradition in which most of the world's listeners live — IV is something else entirely: the warm side of tonal space, the shared-note neighbour, the grandmother's arms. To teach students this grammar on its own terms, rather than as a deviation from classical norms, is not a lowering of standards. It is an acknowledgment of what has actually happened to our musical language.</w:t>
      </w:r>
    </w:p>
    <w:p>
      <w:pPr>
        <w:pStyle w:val="Normal"/>
      </w:pPr>
      <w:r>
        <w:rPr>
          <w:rFonts w:ascii="Gill Sans" w:cs="Gill Sans" w:eastAsia="Gill Sans" w:hAnsi="Gill Sans"/>
          <w:i w:val="false"/>
          <w:iCs w:val="false"/>
          <w:sz w:val="22"/>
          <w:szCs w:val="22"/>
        </w:rPr>
        <w:t xml:space="preserve">Languages evolve. Musical practices evolve. Some very fundamental things shift and change.</w:t>
      </w:r>
    </w:p>
    <w:p>
      <w:pPr>
        <w:pStyle w:val="Normal"/>
        <w:spacing w:after="60"/>
      </w:pPr>
      <w:r>
        <w:t xml:space="preserve"/>
      </w:r>
    </w:p>
    <w:p>
      <w:pPr>
        <w:spacing w:after="60" w:before="0"/>
        <w:ind w:left="720"/>
      </w:pPr>
      <w:r>
        <w:rPr>
          <w:rFonts w:ascii="Gill Sans" w:cs="Gill Sans" w:eastAsia="Gill Sans" w:hAnsi="Gill Sans"/>
          <w:i/>
          <w:iCs/>
          <w:sz w:val="22"/>
          <w:szCs w:val="22"/>
        </w:rPr>
        <w:t xml:space="preserve">"The Plagal Paradigm has its own place of honour and should be recognized as such — clearly labelled and clearly recognized."</w:t>
      </w:r>
    </w:p>
    <w:p>
      <w:pPr>
        <w:spacing w:after="120" w:before="0"/>
        <w:ind w:left="720"/>
      </w:pPr>
      <w:r>
        <w:rPr>
          <w:rFonts w:ascii="Gill Sans" w:cs="Gill Sans" w:eastAsia="Gill Sans" w:hAnsi="Gill Sans"/>
          <w:sz w:val="20"/>
          <w:szCs w:val="20"/>
        </w:rPr>
        <w:t xml:space="preserve">— Doug Smith</w:t>
      </w:r>
    </w:p>
    <w:p>
      <w:pPr>
        <w:pStyle w:val="Normal"/>
        <w:spacing w:after="60"/>
      </w:pPr>
      <w:r>
        <w:t xml:space="preserve"/>
      </w:r>
    </w:p>
    <w:p>
      <w:pPr>
        <w:pStyle w:val="Normal"/>
      </w:pPr>
      <w:r>
        <w:rPr>
          <w:rFonts w:ascii="Gill Sans" w:cs="Gill Sans" w:eastAsia="Gill Sans" w:hAnsi="Gill Sans"/>
          <w:i w:val="false"/>
          <w:iCs w:val="false"/>
          <w:sz w:val="22"/>
          <w:szCs w:val="22"/>
        </w:rPr>
        <w:t xml:space="preserve">This is one of them.</w:t>
      </w:r>
    </w:p>
    <w:p>
      <w:pPr>
        <w:pStyle w:val="Normal"/>
        <w:pBdr>
          <w:bottom w:val="single" w:color="CCCCCC" w:sz="4" w:space="6"/>
        </w:pBdr>
        <w:spacing w:after="240"/>
      </w:pPr>
      <w:r>
        <w:t xml:space="preserve"/>
      </w:r>
    </w:p>
    <w:p>
      <w:pPr>
        <w:pStyle w:val="Normal"/>
        <w:spacing w:after="40"/>
      </w:pPr>
      <w:r>
        <w:rPr>
          <w:rFonts w:ascii="Gill Sans" w:cs="Gill Sans" w:eastAsia="Gill Sans" w:hAnsi="Gill Sans"/>
          <w:i/>
          <w:iCs/>
          <w:sz w:val="20"/>
          <w:szCs w:val="20"/>
        </w:rPr>
        <w:t xml:space="preserve">Doug Smith</w:t>
      </w:r>
    </w:p>
    <w:p>
      <w:pPr>
        <w:pStyle w:val="Normal"/>
        <w:spacing w:after="40"/>
      </w:pPr>
      <w:r>
        <w:rPr>
          <w:rFonts w:ascii="Gill Sans" w:cs="Gill Sans" w:eastAsia="Gill Sans" w:hAnsi="Gill Sans"/>
          <w:i/>
          <w:iCs/>
          <w:sz w:val="20"/>
          <w:szCs w:val="20"/>
        </w:rPr>
        <w:t xml:space="preserve">"The Sound and the Theory" — in progress</w:t>
      </w:r>
    </w:p>
    <w:p>
      <w:pPr>
        <w:pStyle w:val="Normal"/>
        <w:spacing w:after="0"/>
      </w:pPr>
      <w:r>
        <w:rPr>
          <w:rFonts w:ascii="Gill Sans" w:cs="Gill Sans" w:eastAsia="Gill Sans" w:hAnsi="Gill Sans"/>
          <w:color w:val="888888"/>
          <w:sz w:val="18"/>
          <w:szCs w:val="18"/>
        </w:rPr>
        <w:t xml:space="preserve">Draft 1 — assembled from voice session, 2026-04-16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w:cs="Gill Sans" w:eastAsia="Gill Sans" w:hAnsi="Gill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line="360"/>
    </w:pPr>
    <w:rPr>
      <w:rFonts w:ascii="Gill Sans" w:cs="Gill Sans" w:eastAsia="Gill Sans" w:hAnsi="Gill Sans"/>
      <w:sz w:val="22"/>
      <w:szCs w:val="22"/>
    </w:rPr>
  </w:style>
  <w:style w:type="paragraph" w:styleId="Heading1">
    <w:name w:val="Heading 1"/>
    <w:basedOn w:val="Normal"/>
    <w:next w:val="Normal"/>
    <w:qFormat/>
    <w:pPr>
      <w:spacing w:after="360" w:before="0"/>
      <w:outlineLvl w:val="0"/>
    </w:pPr>
    <w:rPr>
      <w:rFonts w:ascii="Futura Condensed ExtraBold" w:cs="Futura Condensed ExtraBold" w:eastAsia="Futura Condensed ExtraBold" w:hAnsi="Futura Condensed ExtraBold"/>
      <w:b w:val="false"/>
      <w:bCs w:val="false"/>
      <w:sz w:val="40"/>
      <w:szCs w:val="40"/>
    </w:rPr>
  </w:style>
  <w:style w:type="paragraph" w:styleId="Heading2">
    <w:name w:val="Heading 2"/>
    <w:basedOn w:val="Normal"/>
    <w:next w:val="Normal"/>
    <w:qFormat/>
    <w:pPr>
      <w:spacing w:after="240" w:before="480"/>
      <w:outlineLvl w:val="1"/>
    </w:pPr>
    <w:rPr>
      <w:rFonts w:ascii="Futura Condensed ExtraBold" w:cs="Futura Condensed ExtraBold" w:eastAsia="Futura Condensed ExtraBold" w:hAnsi="Futura Condensed ExtraBold"/>
      <w:b w:val="false"/>
      <w:bCs w:val="false"/>
      <w:sz w:val="32"/>
      <w:szCs w:val="32"/>
    </w:rPr>
  </w:style>
  <w:style w:type="paragraph" w:styleId="Heading3">
    <w:name w:val="Heading 3"/>
    <w:basedOn w:val="Normal"/>
    <w:next w:val="Normal"/>
    <w:qFormat/>
    <w:pPr>
      <w:spacing w:after="180" w:before="360"/>
      <w:outlineLvl w:val="2"/>
    </w:pPr>
    <w:rPr>
      <w:rFonts w:ascii="Futura Condensed ExtraBold" w:cs="Futura Condensed ExtraBold" w:eastAsia="Futura Condensed ExtraBold" w:hAnsi="Futura Condensed ExtraBold"/>
      <w:b w:val="false"/>
      <w:bCs w:val="fals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2026-04-17T07:28:12.591Z</dcterms:created>
  <dcterms:modified xsi:type="dcterms:W3CDTF">2026-04-17T07:28:12.591Z</dcterms:modified>
</cp:coreProperties>
</file>

<file path=docProps/custom.xml><?xml version="1.0" encoding="utf-8"?>
<Properties xmlns="http://schemas.openxmlformats.org/officeDocument/2006/custom-properties" xmlns:vt="http://schemas.openxmlformats.org/officeDocument/2006/docPropsVTypes"/>
</file>