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Futura Condensed ExtraBold" w:cs="Futura Condensed ExtraBold" w:eastAsia="Futura Condensed ExtraBold" w:hAnsi="Futura Condensed ExtraBold"/>
          <w:b w:val="false"/>
          <w:bCs w:val="false"/>
          <w:sz w:val="40"/>
          <w:szCs w:val="40"/>
        </w:rPr>
        <w:t xml:space="preserve">The Plagal Paradigm</w:t>
      </w:r>
    </w:p>
    <w:p>
      <w:pPr>
        <w:pStyle w:val="Normal"/>
        <w:spacing w:after="60"/>
      </w:pPr>
      <w:r>
        <w:rPr>
          <w:rFonts w:ascii="Gill Sans" w:cs="Gill Sans" w:eastAsia="Gill Sans" w:hAnsi="Gill Sans"/>
          <w:i/>
          <w:iCs/>
          <w:sz w:val="28"/>
          <w:szCs w:val="28"/>
        </w:rPr>
        <w:t xml:space="preserve">Part One: Two Worlds</w:t>
      </w:r>
    </w:p>
    <w:p>
      <w:pPr>
        <w:pStyle w:val="Normal"/>
        <w:spacing w:after="60"/>
      </w:pPr>
      <w:r>
        <w:rPr>
          <w:rFonts w:ascii="Gill Sans" w:cs="Gill Sans" w:eastAsia="Gill Sans" w:hAnsi="Gill Sans"/>
          <w:i/>
          <w:iCs/>
          <w:sz w:val="22"/>
          <w:szCs w:val="22"/>
        </w:rPr>
        <w:t xml:space="preserve">On why some music feels like home</w:t>
      </w:r>
    </w:p>
    <w:p>
      <w:pPr>
        <w:pStyle w:val="Normal"/>
        <w:spacing w:after="360"/>
      </w:pPr>
      <w:r>
        <w:rPr>
          <w:rFonts w:ascii="Gill Sans" w:cs="Gill Sans" w:eastAsia="Gill Sans" w:hAnsi="Gill Sans"/>
          <w:sz w:val="22"/>
          <w:szCs w:val="22"/>
        </w:rPr>
        <w:t xml:space="preserve">Doug Smith</w:t>
      </w:r>
    </w:p>
    <w:p>
      <w:pPr>
        <w:pStyle w:val="Normal"/>
        <w:pBdr>
          <w:bottom w:val="single" w:color="CCCCCC" w:sz="4" w:space="6"/>
        </w:pBdr>
        <w:spacing w:after="240"/>
      </w:pPr>
      <w:r>
        <w:t xml:space="preserve"/>
      </w:r>
    </w:p>
    <w:p>
      <w:pPr>
        <w:pStyle w:val="Normal"/>
      </w:pPr>
      <w:r>
        <w:rPr>
          <w:rFonts w:ascii="Gill Sans" w:cs="Gill Sans" w:eastAsia="Gill Sans" w:hAnsi="Gill Sans"/>
          <w:b w:val="false"/>
          <w:bCs w:val="false"/>
          <w:i w:val="false"/>
          <w:iCs w:val="false"/>
          <w:sz w:val="22"/>
          <w:szCs w:val="22"/>
        </w:rPr>
        <w:t xml:space="preserve">Before you read another word — go to a piano.</w:t>
      </w:r>
    </w:p>
    <w:p>
      <w:pPr>
        <w:pStyle w:val="Normal"/>
      </w:pPr>
      <w:r>
        <w:rPr>
          <w:rFonts w:ascii="Gill Sans" w:cs="Gill Sans" w:eastAsia="Gill Sans" w:hAnsi="Gill Sans"/>
          <w:b w:val="false"/>
          <w:bCs w:val="false"/>
          <w:i w:val="false"/>
          <w:iCs w:val="false"/>
          <w:sz w:val="22"/>
          <w:szCs w:val="22"/>
        </w:rPr>
        <w:t xml:space="preserve">If you don't have a piano handy, imagine one. Or pull up a keyboard on your phone. Or just listen to the audio below and follow along. Because everything I want to tell you starts with two chords, and the fastest way to understand it is to play them yourself.</w:t>
      </w:r>
    </w:p>
    <w:p>
      <w:pPr>
        <w:pStyle w:val="Normal"/>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60"/>
            </w:pPr>
            <w:r>
              <w:rPr>
                <w:rFonts w:ascii="Gill Sans" w:cs="Gill Sans" w:eastAsia="Gill Sans" w:hAnsi="Gill Sans"/>
                <w:b/>
                <w:bCs/>
                <w:color w:val="555555"/>
                <w:sz w:val="20"/>
                <w:szCs w:val="20"/>
              </w:rPr>
              <w:t xml:space="preserve">🎹  AUDIO — Play Along</w:t>
            </w:r>
          </w:p>
          <w:p>
            <w:pPr>
              <w:spacing w:after="40"/>
            </w:pPr>
            <w:r>
              <w:rPr>
                <w:rFonts w:ascii="Gill Sans" w:cs="Gill Sans" w:eastAsia="Gill Sans" w:hAnsi="Gill Sans"/>
                <w:i/>
                <w:iCs/>
                <w:sz w:val="20"/>
                <w:szCs w:val="20"/>
              </w:rPr>
              <w:t xml:space="preserve">Doug demonstrates the three chords on piano: C major (I), F major (IV), G major (V). Listen once, then play them yourself.</w:t>
            </w:r>
          </w:p>
          <w:p>
            <w:pPr>
              <w:spacing w:after="0"/>
            </w:pPr>
            <w:r>
              <w:rPr>
                <w:rFonts w:ascii="Gill Sans" w:cs="Gill Sans" w:eastAsia="Gill Sans" w:hAnsi="Gill Sans"/>
                <w:color w:val="777777"/>
                <w:sz w:val="19"/>
                <w:szCs w:val="19"/>
              </w:rPr>
              <w:t xml:space="preserve">Recording: ~45 seconds. Just the three chords, slowly, in order. No commentary.</w:t>
            </w:r>
          </w:p>
        </w:tc>
      </w:tr>
    </w:tbl>
    <w:p>
      <w:pPr>
        <w:pStyle w:val="Normal"/>
        <w:spacing w:after="60"/>
      </w:pPr>
      <w:r>
        <w:t xml:space="preserve"/>
      </w:r>
    </w:p>
    <w:p>
      <w:pPr>
        <w:pStyle w:val="Normal"/>
      </w:pPr>
      <w:r>
        <w:rPr>
          <w:rFonts w:ascii="Gill Sans" w:cs="Gill Sans" w:eastAsia="Gill Sans" w:hAnsi="Gill Sans"/>
          <w:b w:val="false"/>
          <w:bCs w:val="false"/>
          <w:i w:val="false"/>
          <w:iCs w:val="false"/>
          <w:sz w:val="22"/>
          <w:szCs w:val="22"/>
        </w:rPr>
        <w:t xml:space="preserve">Play C major. That's home — your tonic, your I chord. Settle into it for a moment.</w:t>
      </w:r>
    </w:p>
    <w:p>
      <w:pPr>
        <w:pStyle w:val="Normal"/>
      </w:pPr>
      <w:r>
        <w:rPr>
          <w:rFonts w:ascii="Gill Sans" w:cs="Gill Sans" w:eastAsia="Gill Sans" w:hAnsi="Gill Sans"/>
          <w:b w:val="false"/>
          <w:bCs w:val="false"/>
          <w:i w:val="false"/>
          <w:iCs w:val="false"/>
          <w:sz w:val="22"/>
          <w:szCs w:val="22"/>
        </w:rPr>
        <w:t xml:space="preserve">Now play F major. Your IV chord.</w:t>
      </w:r>
    </w:p>
    <w:p>
      <w:pPr>
        <w:pStyle w:val="Normal"/>
      </w:pPr>
      <w:r>
        <w:rPr>
          <w:rFonts w:ascii="Gill Sans" w:cs="Gill Sans" w:eastAsia="Gill Sans" w:hAnsi="Gill Sans"/>
          <w:b w:val="false"/>
          <w:bCs w:val="false"/>
          <w:i w:val="false"/>
          <w:iCs w:val="false"/>
          <w:sz w:val="22"/>
          <w:szCs w:val="22"/>
        </w:rPr>
        <w:t xml:space="preserve">Now play G major. Your V chord.</w:t>
      </w:r>
    </w:p>
    <w:p>
      <w:pPr>
        <w:pStyle w:val="Normal"/>
      </w:pPr>
      <w:r>
        <w:rPr>
          <w:rFonts w:ascii="Gill Sans" w:cs="Gill Sans" w:eastAsia="Gill Sans" w:hAnsi="Gill Sans"/>
          <w:b w:val="false"/>
          <w:bCs w:val="false"/>
          <w:i w:val="false"/>
          <w:iCs w:val="false"/>
          <w:sz w:val="22"/>
          <w:szCs w:val="22"/>
        </w:rPr>
        <w:t xml:space="preserve">Something happened. You felt it. The F major chord felt warm, nearby, safe — like you'd stepped into another room of the same house. The G major chord felt different. It pulled. It made a promise. It wanted to go somewhere.</w:t>
      </w:r>
    </w:p>
    <w:p>
      <w:pPr>
        <w:pStyle w:val="Normal"/>
      </w:pPr>
      <w:r>
        <w:rPr>
          <w:rFonts w:ascii="Gill Sans" w:cs="Gill Sans" w:eastAsia="Gill Sans" w:hAnsi="Gill Sans"/>
          <w:b w:val="false"/>
          <w:bCs w:val="false"/>
          <w:i w:val="false"/>
          <w:iCs w:val="false"/>
          <w:sz w:val="22"/>
          <w:szCs w:val="22"/>
        </w:rPr>
        <w:t xml:space="preserve">One of those chords kept the note C. The other let it go.</w:t>
      </w:r>
    </w:p>
    <w:p>
      <w:pPr>
        <w:pStyle w:val="Normal"/>
      </w:pPr>
      <w:r>
        <w:rPr>
          <w:rFonts w:ascii="Gill Sans" w:cs="Gill Sans" w:eastAsia="Gill Sans" w:hAnsi="Gill Sans"/>
          <w:b w:val="false"/>
          <w:bCs w:val="false"/>
          <w:i w:val="false"/>
          <w:iCs w:val="false"/>
          <w:sz w:val="22"/>
          <w:szCs w:val="22"/>
        </w:rPr>
        <w:t xml:space="preserve">That's everything. That is the entire argument of this series, stated in two chords.</w:t>
      </w:r>
    </w:p>
    <w:p>
      <w:pPr>
        <w:pStyle w:val="Normal"/>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60"/>
            </w:pPr>
            <w:r>
              <w:rPr>
                <w:rFonts w:ascii="Gill Sans" w:cs="Gill Sans" w:eastAsia="Gill Sans" w:hAnsi="Gill Sans"/>
                <w:b/>
                <w:bCs/>
                <w:color w:val="555555"/>
                <w:sz w:val="20"/>
                <w:szCs w:val="20"/>
              </w:rPr>
              <w:t xml:space="preserve">🖼  GRAPHIC — The Two Sides of Tonal Space</w:t>
            </w:r>
          </w:p>
          <w:p>
            <w:pPr>
              <w:spacing w:after="40"/>
            </w:pPr>
            <w:r>
              <w:rPr>
                <w:rFonts w:ascii="Gill Sans" w:cs="Gill Sans" w:eastAsia="Gill Sans" w:hAnsi="Gill Sans"/>
                <w:i/>
                <w:iCs/>
                <w:sz w:val="20"/>
                <w:szCs w:val="20"/>
              </w:rPr>
              <w:t xml:space="preserve">A simple horizontal diagram: IV on the left labelled 'home side / warm / the note C stays', I in the centre, V on the right labelled 'away side / tension / the note C disappears'.</w:t>
            </w:r>
          </w:p>
          <w:p>
            <w:pPr>
              <w:spacing w:after="0"/>
            </w:pPr>
            <w:r>
              <w:rPr>
                <w:rFonts w:ascii="Gill Sans" w:cs="Gill Sans" w:eastAsia="Gill Sans" w:hAnsi="Gill Sans"/>
                <w:color w:val="777777"/>
                <w:sz w:val="19"/>
                <w:szCs w:val="19"/>
              </w:rPr>
              <w:t xml:space="preserve">No staff notation. Clean, conceptual. Like a compass with I at the centre.</w:t>
            </w:r>
          </w:p>
        </w:tc>
      </w:tr>
    </w:tbl>
    <w:p>
      <w:pPr>
        <w:pStyle w:val="Normal"/>
        <w:spacing w:after="60"/>
      </w:pPr>
      <w:r>
        <w:t xml:space="preserve"/>
      </w:r>
    </w:p>
    <w:p>
      <w:pPr>
        <w:pStyle w:val="Heading2"/>
      </w:pPr>
      <w:r>
        <w:rPr>
          <w:rFonts w:ascii="Futura Condensed ExtraBold" w:cs="Futura Condensed ExtraBold" w:eastAsia="Futura Condensed ExtraBold" w:hAnsi="Futura Condensed ExtraBold"/>
          <w:b w:val="false"/>
          <w:bCs w:val="false"/>
          <w:sz w:val="32"/>
          <w:szCs w:val="32"/>
        </w:rPr>
        <w:t xml:space="preserve">A Grammar, Not a Rule</w:t>
      </w:r>
    </w:p>
    <w:p>
      <w:pPr>
        <w:pStyle w:val="Normal"/>
      </w:pPr>
      <w:r>
        <w:rPr>
          <w:rFonts w:ascii="Gill Sans" w:cs="Gill Sans" w:eastAsia="Gill Sans" w:hAnsi="Gill Sans"/>
          <w:b w:val="false"/>
          <w:bCs w:val="false"/>
          <w:i w:val="false"/>
          <w:iCs w:val="false"/>
          <w:sz w:val="22"/>
          <w:szCs w:val="22"/>
        </w:rPr>
        <w:t xml:space="preserve">Music theory, as it is usually taught, gives the G chord — the dominant, the V — the place of honour. The dominant is the engine of classical harmony. It creates tension; it demands resolution; it is the reason V→I has been the paradigm of musical closure for three hundred years.</w:t>
      </w:r>
    </w:p>
    <w:p>
      <w:pPr>
        <w:pStyle w:val="Normal"/>
      </w:pPr>
      <w:r>
        <w:rPr>
          <w:rFonts w:ascii="Gill Sans" w:cs="Gill Sans" w:eastAsia="Gill Sans" w:hAnsi="Gill Sans"/>
          <w:b w:val="false"/>
          <w:bCs w:val="false"/>
          <w:i w:val="false"/>
          <w:iCs w:val="false"/>
          <w:sz w:val="22"/>
          <w:szCs w:val="22"/>
        </w:rPr>
        <w:t xml:space="preserve">And it is not wrong. When a V7 chord sounds, something real happens: the home note disappears, a tension is created, and the resolution to I has a power and finality that is genuinely satisfying. That grammar works. It works beautifully.</w:t>
      </w:r>
    </w:p>
    <w:p>
      <w:pPr>
        <w:pStyle w:val="Normal"/>
      </w:pPr>
      <w:r>
        <w:rPr>
          <w:rFonts w:ascii="Gill Sans" w:cs="Gill Sans" w:eastAsia="Gill Sans" w:hAnsi="Gill Sans"/>
          <w:b w:val="false"/>
          <w:bCs w:val="false"/>
          <w:i w:val="false"/>
          <w:iCs w:val="false"/>
          <w:sz w:val="22"/>
          <w:szCs w:val="22"/>
        </w:rPr>
        <w:t xml:space="preserve">But it is not the only grammar.</w:t>
      </w:r>
    </w:p>
    <w:p>
      <w:pPr>
        <w:pStyle w:val="Normal"/>
      </w:pPr>
      <w:r>
        <w:rPr>
          <w:rFonts w:ascii="Gill Sans" w:cs="Gill Sans" w:eastAsia="Gill Sans" w:hAnsi="Gill Sans"/>
          <w:b w:val="false"/>
          <w:bCs w:val="false"/>
          <w:i w:val="false"/>
          <w:iCs w:val="false"/>
          <w:sz w:val="22"/>
          <w:szCs w:val="22"/>
        </w:rPr>
        <w:t xml:space="preserve">Languages evolve. Old English was full of case endings — grammatical inflections that told you who was doing what to whom. Over the centuries, those endings dropped away. Modern English replaced them with prepositions and strict word order. We can still say the same things. We just say them differently, and they sound different than they used to.</w:t>
      </w:r>
    </w:p>
    <w:p>
      <w:pPr>
        <w:pStyle w:val="Normal"/>
      </w:pPr>
      <w:r>
        <w:rPr>
          <w:rFonts w:ascii="Gill Sans" w:cs="Gill Sans" w:eastAsia="Gill Sans" w:hAnsi="Gill Sans"/>
          <w:b w:val="false"/>
          <w:bCs w:val="false"/>
          <w:i w:val="false"/>
          <w:iCs w:val="false"/>
          <w:sz w:val="22"/>
          <w:szCs w:val="22"/>
        </w:rPr>
        <w:t xml:space="preserve">Something analogous has happened in our musical language. The classical grammar was built around the dominant. Popular music, over the last century, has shifted — gradually, without announcement — toward the other side of tonal space. Toward the F chord. Toward the IV. Toward home.</w:t>
      </w:r>
    </w:p>
    <w:p>
      <w:pPr>
        <w:pStyle w:val="Normal"/>
      </w:pPr>
      <w:r>
        <w:rPr>
          <w:rFonts w:ascii="Gill Sans" w:cs="Gill Sans" w:eastAsia="Gill Sans" w:hAnsi="Gill Sans"/>
          <w:b w:val="false"/>
          <w:bCs w:val="false"/>
          <w:i w:val="false"/>
          <w:iCs w:val="false"/>
          <w:sz w:val="22"/>
          <w:szCs w:val="22"/>
        </w:rPr>
        <w:t xml:space="preserve">This shift has a name. I call it the Plagal Paradigm.</w:t>
      </w:r>
    </w:p>
    <w:p>
      <w:pPr>
        <w:pStyle w:val="Normal"/>
        <w:spacing w:after="60"/>
      </w:pPr>
      <w:r>
        <w:t xml:space="preserve"/>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6900"/>
      </w:tblGrid>
      <w:tr>
        <w:tc>
          <w:tcPr>
            <w:tcW w:type="dxa" w:w="6900"/>
            <w:tcBorders>
              <w:top w:val="none" w:sz="0"/>
              <w:left w:val="single" w:color="2E75B6" w:sz="76"/>
              <w:bottom w:val="none" w:sz="0"/>
              <w:right w:val="none" w:sz="0"/>
            </w:tcBorders>
            <w:tcMar>
              <w:top w:type="dxa" w:w="160"/>
              <w:left w:type="dxa" w:w="240"/>
              <w:bottom w:type="dxa" w:w="160"/>
              <w:right w:type="dxa" w:w="120"/>
            </w:tcMar>
          </w:tcPr>
          <w:p>
            <w:pPr>
              <w:spacing w:after="60"/>
            </w:pPr>
            <w:r>
              <w:rPr>
                <w:rFonts w:ascii="Gill Sans" w:cs="Gill Sans" w:eastAsia="Gill Sans" w:hAnsi="Gill Sans"/>
                <w:b/>
                <w:bCs/>
                <w:sz w:val="22"/>
                <w:szCs w:val="22"/>
              </w:rPr>
              <w:t xml:space="preserve">What is 'Plagal'?</w:t>
            </w:r>
          </w:p>
          <w:p>
            <w:pPr>
              <w:spacing w:after="40" w:line="240"/>
            </w:pPr>
            <w:r>
              <w:rPr>
                <w:rFonts w:ascii="Gill Sans" w:cs="Gill Sans" w:eastAsia="Gill Sans" w:hAnsi="Gill Sans"/>
                <w:sz w:val="20"/>
                <w:szCs w:val="20"/>
              </w:rPr>
              <w:t xml:space="preserve">From the Greek plagios — 'oblique' or 'sideways.' In medieval music theory, the plagal modes were the 'lower' versions of the authentic modes. The plagal cadence (IV→I) was called the Amen cadence: the one used at the end of hymns, prayers, and blessings. It was the cadence of warm closure, not of dramatic resolution.</w:t>
            </w:r>
          </w:p>
          <w:p>
            <w:pPr>
              <w:spacing w:after="40" w:line="240"/>
            </w:pPr>
            <w:r>
              <w:rPr>
                <w:rFonts w:ascii="Gill Sans" w:cs="Gill Sans" w:eastAsia="Gill Sans" w:hAnsi="Gill Sans"/>
                <w:sz w:val="20"/>
                <w:szCs w:val="20"/>
              </w:rPr>
              <w:t xml:space="preserve">It has always been there. It just never had the spotlight.</w:t>
            </w:r>
          </w:p>
        </w:tc>
      </w:tr>
    </w:tbl>
    <w:p>
      <w:pPr>
        <w:pStyle w:val="Normal"/>
        <w:spacing w:after="60"/>
      </w:pPr>
      <w:r>
        <w:t xml:space="preserve"/>
      </w:r>
    </w:p>
    <w:p>
      <w:pPr>
        <w:pStyle w:val="Heading2"/>
      </w:pPr>
      <w:r>
        <w:rPr>
          <w:rFonts w:ascii="Futura Condensed ExtraBold" w:cs="Futura Condensed ExtraBold" w:eastAsia="Futura Condensed ExtraBold" w:hAnsi="Futura Condensed ExtraBold"/>
          <w:b w:val="false"/>
          <w:bCs w:val="false"/>
          <w:sz w:val="32"/>
          <w:szCs w:val="32"/>
        </w:rPr>
        <w:t xml:space="preserve">Obligation and Embrace</w:t>
      </w:r>
    </w:p>
    <w:p>
      <w:pPr>
        <w:pStyle w:val="Normal"/>
      </w:pPr>
      <w:r>
        <w:rPr>
          <w:rFonts w:ascii="Gill Sans" w:cs="Gill Sans" w:eastAsia="Gill Sans" w:hAnsi="Gill Sans"/>
          <w:b w:val="false"/>
          <w:bCs w:val="false"/>
          <w:i w:val="false"/>
          <w:iCs w:val="false"/>
          <w:sz w:val="22"/>
          <w:szCs w:val="22"/>
        </w:rPr>
        <w:t xml:space="preserve">There's a word for what the dominant does: obligation. When V7 sounds, a harmonic debt is incurred. The leading tone strains upward. The chordal seventh presses down. The resolution is not a choice — it is a grammatical requirement, as binding as a case ending. The dominant commands.</w:t>
      </w:r>
    </w:p>
    <w:p>
      <w:pPr>
        <w:pStyle w:val="Normal"/>
      </w:pPr>
      <w:r>
        <w:rPr>
          <w:rFonts w:ascii="Gill Sans" w:cs="Gill Sans" w:eastAsia="Gill Sans" w:hAnsi="Gill Sans"/>
          <w:b w:val="false"/>
          <w:bCs w:val="false"/>
          <w:i w:val="false"/>
          <w:iCs w:val="false"/>
          <w:sz w:val="22"/>
          <w:szCs w:val="22"/>
        </w:rPr>
        <w:t xml:space="preserve">The subdominant does something different.</w:t>
      </w:r>
    </w:p>
    <w:p>
      <w:pPr>
        <w:pStyle w:val="Normal"/>
        <w:spacing w:after="60"/>
      </w:pPr>
      <w:r>
        <w:t xml:space="preserve"/>
      </w:r>
    </w:p>
    <w:p>
      <w:pPr>
        <w:spacing w:after="60" w:before="60"/>
        <w:ind w:left="720"/>
      </w:pPr>
      <w:r>
        <w:rPr>
          <w:rFonts w:ascii="Gill Sans" w:cs="Gill Sans" w:eastAsia="Gill Sans" w:hAnsi="Gill Sans"/>
          <w:i/>
          <w:iCs/>
          <w:sz w:val="22"/>
          <w:szCs w:val="22"/>
        </w:rPr>
        <w:t xml:space="preserve">"An embrace. A warm embrace of home and hearth."</w:t>
      </w:r>
    </w:p>
    <w:p>
      <w:pPr>
        <w:pStyle w:val="Normal"/>
        <w:spacing w:after="60"/>
      </w:pPr>
      <w:r>
        <w:t xml:space="preserve"/>
      </w:r>
    </w:p>
    <w:p>
      <w:pPr>
        <w:pStyle w:val="Normal"/>
      </w:pPr>
      <w:r>
        <w:rPr>
          <w:rFonts w:ascii="Gill Sans" w:cs="Gill Sans" w:eastAsia="Gill Sans" w:hAnsi="Gill Sans"/>
          <w:b w:val="false"/>
          <w:bCs w:val="false"/>
          <w:i w:val="false"/>
          <w:iCs w:val="false"/>
          <w:sz w:val="22"/>
          <w:szCs w:val="22"/>
        </w:rPr>
        <w:t xml:space="preserve">Not obligation. Not tension. Not a debt to be paid. An invitation to stay where you already are.</w:t>
      </w:r>
    </w:p>
    <w:p>
      <w:pPr>
        <w:pStyle w:val="Normal"/>
      </w:pPr>
      <w:r>
        <w:rPr>
          <w:rFonts w:ascii="Gill Sans" w:cs="Gill Sans" w:eastAsia="Gill Sans" w:hAnsi="Gill Sans"/>
          <w:b w:val="false"/>
          <w:bCs w:val="false"/>
          <w:i w:val="false"/>
          <w:iCs w:val="false"/>
          <w:sz w:val="22"/>
          <w:szCs w:val="22"/>
        </w:rPr>
        <w:t xml:space="preserve">These are not two versions of the same thing. They are two different harmonic forces — facing in opposite directions, doing opposite work, speaking different emotional languages. One persuades. The other orders. One is the yin; the other, the yang.</w:t>
      </w:r>
    </w:p>
    <w:p>
      <w:pPr>
        <w:pStyle w:val="Normal"/>
      </w:pPr>
      <w:r>
        <w:rPr>
          <w:rFonts w:ascii="Gill Sans" w:cs="Gill Sans" w:eastAsia="Gill Sans" w:hAnsi="Gill Sans"/>
          <w:b w:val="false"/>
          <w:bCs w:val="false"/>
          <w:i w:val="false"/>
          <w:iCs w:val="false"/>
          <w:sz w:val="22"/>
          <w:szCs w:val="22"/>
        </w:rPr>
        <w:t xml:space="preserve">In the next part of this series, we'll prove it — not just feel it. We'll look at the mathematics of the major scale, at the data from over a thousand pop songs, at Johann Sebastian Bach, and at a song you've sung at midnight more times than you can count. It will all point in the same direction.</w:t>
      </w:r>
    </w:p>
    <w:p>
      <w:pPr>
        <w:pStyle w:val="Normal"/>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60"/>
            </w:pPr>
            <w:r>
              <w:rPr>
                <w:rFonts w:ascii="Gill Sans" w:cs="Gill Sans" w:eastAsia="Gill Sans" w:hAnsi="Gill Sans"/>
                <w:b/>
                <w:bCs/>
                <w:color w:val="555555"/>
                <w:sz w:val="20"/>
                <w:szCs w:val="20"/>
              </w:rPr>
              <w:t xml:space="preserve">🎹  AUDIO — Obligation vs. Embrace</w:t>
            </w:r>
          </w:p>
          <w:p>
            <w:pPr>
              <w:spacing w:after="40"/>
            </w:pPr>
            <w:r>
              <w:rPr>
                <w:rFonts w:ascii="Gill Sans" w:cs="Gill Sans" w:eastAsia="Gill Sans" w:hAnsi="Gill Sans"/>
                <w:i/>
                <w:iCs/>
                <w:sz w:val="20"/>
                <w:szCs w:val="20"/>
              </w:rPr>
              <w:t xml:space="preserve">Doug plays two short progressions back-to-back: (1) C – G7 – C (authentic cadence, dominant obligation) and (2) C – F – C (plagal cadence, subdominant embrace). The contrast is immediate and visceral.</w:t>
            </w:r>
          </w:p>
          <w:p>
            <w:pPr>
              <w:spacing w:after="0"/>
            </w:pPr>
            <w:r>
              <w:rPr>
                <w:rFonts w:ascii="Gill Sans" w:cs="Gill Sans" w:eastAsia="Gill Sans" w:hAnsi="Gill Sans"/>
                <w:color w:val="777777"/>
                <w:sz w:val="19"/>
                <w:szCs w:val="19"/>
              </w:rPr>
              <w:t xml:space="preserve">Recording: ~30 seconds. No commentary — let the chords speak.</w:t>
            </w:r>
          </w:p>
        </w:tc>
      </w:tr>
    </w:tbl>
    <w:p>
      <w:pPr>
        <w:pStyle w:val="Normal"/>
        <w:spacing w:after="60"/>
      </w:pPr>
      <w:r>
        <w:t xml:space="preserve"/>
      </w:r>
    </w:p>
    <w:p>
      <w:pPr>
        <w:pStyle w:val="Normal"/>
      </w:pPr>
      <w:r>
        <w:rPr>
          <w:rFonts w:ascii="Gill Sans" w:cs="Gill Sans" w:eastAsia="Gill Sans" w:hAnsi="Gill Sans"/>
          <w:b w:val="false"/>
          <w:bCs w:val="false"/>
          <w:i w:val="false"/>
          <w:iCs w:val="false"/>
          <w:sz w:val="22"/>
          <w:szCs w:val="22"/>
        </w:rPr>
        <w:t xml:space="preserve">Play them yourself. Listen to what each one does to the note C. In the first progression, C disappears — then returns. In the second, it never left.</w:t>
      </w:r>
    </w:p>
    <w:p>
      <w:pPr>
        <w:pStyle w:val="Normal"/>
      </w:pPr>
      <w:r>
        <w:rPr>
          <w:rFonts w:ascii="Gill Sans" w:cs="Gill Sans" w:eastAsia="Gill Sans" w:hAnsi="Gill Sans"/>
          <w:b w:val="false"/>
          <w:bCs w:val="false"/>
          <w:i w:val="false"/>
          <w:iCs w:val="false"/>
          <w:sz w:val="22"/>
          <w:szCs w:val="22"/>
        </w:rPr>
        <w:t xml:space="preserve">See you in Part Two.</w:t>
      </w:r>
    </w:p>
    <w:p>
      <w:pPr>
        <w:pStyle w:val="Normal"/>
        <w:pBdr>
          <w:bottom w:val="single" w:color="CCCCCC" w:sz="4" w:space="6"/>
        </w:pBdr>
        <w:spacing w:after="240"/>
      </w:pPr>
      <w:r>
        <w:t xml:space="preserve"/>
      </w:r>
    </w:p>
    <w:p>
      <w:pPr>
        <w:pStyle w:val="Normal"/>
        <w:spacing w:after="40"/>
      </w:pPr>
      <w:r>
        <w:rPr>
          <w:rFonts w:ascii="Gill Sans" w:cs="Gill Sans" w:eastAsia="Gill Sans" w:hAnsi="Gill Sans"/>
          <w:i/>
          <w:iCs/>
          <w:sz w:val="20"/>
          <w:szCs w:val="20"/>
        </w:rPr>
        <w:t xml:space="preserve">Doug Smith</w:t>
      </w:r>
    </w:p>
    <w:p>
      <w:pPr>
        <w:pStyle w:val="Normal"/>
        <w:spacing w:after="40"/>
      </w:pPr>
      <w:r>
        <w:rPr>
          <w:rFonts w:ascii="Gill Sans" w:cs="Gill Sans" w:eastAsia="Gill Sans" w:hAnsi="Gill Sans"/>
          <w:i/>
          <w:iCs/>
          <w:sz w:val="20"/>
          <w:szCs w:val="20"/>
        </w:rPr>
        <w:t xml:space="preserve">The Plagal Paradigm is a three-part series. Part Two: The Proof.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ill Sans" w:cs="Gill Sans" w:eastAsia="Gill Sans" w:hAnsi="Gill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20" w:line="360"/>
    </w:pPr>
    <w:rPr>
      <w:rFonts w:ascii="Gill Sans" w:cs="Gill Sans" w:eastAsia="Gill Sans" w:hAnsi="Gill Sans"/>
      <w:sz w:val="22"/>
      <w:szCs w:val="22"/>
    </w:rPr>
  </w:style>
  <w:style w:type="paragraph" w:styleId="Heading1">
    <w:name w:val="Heading 1"/>
    <w:basedOn w:val="Normal"/>
    <w:next w:val="Normal"/>
    <w:qFormat/>
    <w:pPr>
      <w:spacing w:after="360" w:before="0"/>
      <w:outlineLvl w:val="0"/>
    </w:pPr>
    <w:rPr>
      <w:rFonts w:ascii="Futura Condensed ExtraBold" w:cs="Futura Condensed ExtraBold" w:eastAsia="Futura Condensed ExtraBold" w:hAnsi="Futura Condensed ExtraBold"/>
      <w:b w:val="false"/>
      <w:bCs w:val="false"/>
      <w:sz w:val="40"/>
      <w:szCs w:val="40"/>
    </w:rPr>
  </w:style>
  <w:style w:type="paragraph" w:styleId="Heading2">
    <w:name w:val="Heading 2"/>
    <w:basedOn w:val="Normal"/>
    <w:next w:val="Normal"/>
    <w:qFormat/>
    <w:pPr>
      <w:spacing w:after="240" w:before="480"/>
      <w:outlineLvl w:val="1"/>
    </w:pPr>
    <w:rPr>
      <w:rFonts w:ascii="Futura Condensed ExtraBold" w:cs="Futura Condensed ExtraBold" w:eastAsia="Futura Condensed ExtraBold" w:hAnsi="Futura Condensed ExtraBold"/>
      <w:b w:val="false"/>
      <w:bCs w:val="fals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2026-04-17T08:28:36.841Z</dcterms:created>
  <dcterms:modified xsi:type="dcterms:W3CDTF">2026-04-17T08:28:36.842Z</dcterms:modified>
</cp:coreProperties>
</file>

<file path=docProps/custom.xml><?xml version="1.0" encoding="utf-8"?>
<Properties xmlns="http://schemas.openxmlformats.org/officeDocument/2006/custom-properties" xmlns:vt="http://schemas.openxmlformats.org/officeDocument/2006/docPropsVTypes"/>
</file>