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Futura Condensed ExtraBold" w:cs="Futura Condensed ExtraBold" w:eastAsia="Futura Condensed ExtraBold" w:hAnsi="Futura Condensed ExtraBold"/>
          <w:b w:val="false"/>
          <w:bCs w:val="false"/>
          <w:sz w:val="40"/>
          <w:szCs w:val="40"/>
        </w:rPr>
        <w:t xml:space="preserve">The Plagal Paradigm</w:t>
      </w:r>
    </w:p>
    <w:p>
      <w:pPr>
        <w:pStyle w:val="Normal"/>
        <w:spacing w:after="60"/>
      </w:pPr>
      <w:r>
        <w:rPr>
          <w:rFonts w:ascii="Gill Sans" w:cs="Gill Sans" w:eastAsia="Gill Sans" w:hAnsi="Gill Sans"/>
          <w:i/>
          <w:iCs/>
          <w:sz w:val="28"/>
          <w:szCs w:val="28"/>
        </w:rPr>
        <w:t xml:space="preserve">Part Two: The Proof</w:t>
      </w:r>
    </w:p>
    <w:p>
      <w:pPr>
        <w:pStyle w:val="Normal"/>
        <w:spacing w:after="60"/>
      </w:pPr>
      <w:r>
        <w:rPr>
          <w:rFonts w:ascii="Gill Sans" w:cs="Gill Sans" w:eastAsia="Gill Sans" w:hAnsi="Gill Sans"/>
          <w:i/>
          <w:iCs/>
          <w:sz w:val="22"/>
          <w:szCs w:val="22"/>
        </w:rPr>
        <w:t xml:space="preserve">Why IV feels like home — and why it always has</w:t>
      </w:r>
    </w:p>
    <w:p>
      <w:pPr>
        <w:pStyle w:val="Normal"/>
        <w:spacing w:after="360"/>
      </w:pPr>
      <w:r>
        <w:rPr>
          <w:rFonts w:ascii="Gill Sans" w:cs="Gill Sans" w:eastAsia="Gill Sans" w:hAnsi="Gill Sans"/>
          <w:sz w:val="22"/>
          <w:szCs w:val="22"/>
        </w:rPr>
        <w:t xml:space="preserve">Doug Smith</w:t>
      </w:r>
    </w:p>
    <w:p>
      <w:pPr>
        <w:pStyle w:val="Normal"/>
        <w:pBdr>
          <w:bottom w:val="single" w:color="CCCCCC" w:sz="4" w:space="6"/>
        </w:pBdr>
        <w:spacing w:after="240"/>
      </w:pPr>
      <w:r>
        <w:t xml:space="preserve"/>
      </w:r>
    </w:p>
    <w:p>
      <w:pPr>
        <w:pStyle w:val="Normal"/>
      </w:pPr>
      <w:r>
        <w:rPr>
          <w:rFonts w:ascii="Gill Sans" w:cs="Gill Sans" w:eastAsia="Gill Sans" w:hAnsi="Gill Sans"/>
          <w:b w:val="false"/>
          <w:bCs w:val="false"/>
          <w:i w:val="false"/>
          <w:iCs w:val="false"/>
          <w:sz w:val="22"/>
          <w:szCs w:val="22"/>
        </w:rPr>
        <w:t xml:space="preserve">In Part One, you felt the difference between two harmonic worlds — the dominant's obligation and the subdominant's embrace. Now we prove it.</w:t>
      </w:r>
    </w:p>
    <w:p>
      <w:pPr>
        <w:pStyle w:val="Normal"/>
      </w:pPr>
      <w:r>
        <w:rPr>
          <w:rFonts w:ascii="Gill Sans" w:cs="Gill Sans" w:eastAsia="Gill Sans" w:hAnsi="Gill Sans"/>
          <w:b w:val="false"/>
          <w:bCs w:val="false"/>
          <w:i w:val="false"/>
          <w:iCs w:val="false"/>
          <w:sz w:val="22"/>
          <w:szCs w:val="22"/>
        </w:rPr>
        <w:t xml:space="preserve">The proof comes from three directions at once: from the mathematics of the major scale, from the historical record, and from the data. All three point to the same place.</w:t>
      </w:r>
    </w:p>
    <w:p>
      <w:pPr>
        <w:pStyle w:val="Heading2"/>
      </w:pPr>
      <w:r>
        <w:rPr>
          <w:rFonts w:ascii="Futura Condensed ExtraBold" w:cs="Futura Condensed ExtraBold" w:eastAsia="Futura Condensed ExtraBold" w:hAnsi="Futura Condensed ExtraBold"/>
          <w:b w:val="false"/>
          <w:bCs w:val="false"/>
          <w:sz w:val="32"/>
          <w:szCs w:val="32"/>
        </w:rPr>
        <w:t xml:space="preserve">The Two Semitone Hinges</w:t>
      </w:r>
    </w:p>
    <w:p>
      <w:pPr>
        <w:pStyle w:val="Normal"/>
      </w:pPr>
      <w:r>
        <w:rPr>
          <w:rFonts w:ascii="Gill Sans" w:cs="Gill Sans" w:eastAsia="Gill Sans" w:hAnsi="Gill Sans"/>
          <w:b w:val="false"/>
          <w:bCs w:val="false"/>
          <w:i w:val="false"/>
          <w:iCs w:val="false"/>
          <w:sz w:val="22"/>
          <w:szCs w:val="22"/>
        </w:rPr>
        <w:t xml:space="preserve">The major scale contains exactly two semitone steps — two half-steps, the smallest interval in Western tonal music. In C major, they are E–F and B–C. Everything else in the scale is a whole step. These two semitones are not decorative. They are the hinges of the two great harmonic axes, and they work in precisely opposite ways.</w:t>
      </w:r>
    </w:p>
    <w:p>
      <w:pPr>
        <w:pStyle w:val="Normal"/>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20"/>
              <w:left w:type="dxa" w:w="160"/>
              <w:bottom w:type="dxa" w:w="120"/>
              <w:right w:type="dxa" w:w="160"/>
            </w:tcMar>
          </w:tcPr>
          <w:p>
            <w:pPr>
              <w:spacing w:after="60"/>
            </w:pPr>
            <w:r>
              <w:rPr>
                <w:rFonts w:ascii="Gill Sans" w:cs="Gill Sans" w:eastAsia="Gill Sans" w:hAnsi="Gill Sans"/>
                <w:b/>
                <w:bCs/>
                <w:color w:val="555555"/>
                <w:sz w:val="20"/>
                <w:szCs w:val="20"/>
              </w:rPr>
              <w:t xml:space="preserve">🖼  GRAPHIC — The Two Semitone Hinges</w:t>
            </w:r>
          </w:p>
          <w:p>
            <w:pPr>
              <w:spacing w:after="40"/>
            </w:pPr>
            <w:r>
              <w:rPr>
                <w:rFonts w:ascii="Gill Sans" w:cs="Gill Sans" w:eastAsia="Gill Sans" w:hAnsi="Gill Sans"/>
                <w:i/>
                <w:iCs/>
                <w:sz w:val="20"/>
                <w:szCs w:val="20"/>
              </w:rPr>
              <w:t xml:space="preserve">Staff notation in C major. Show the full scale with brackets highlighting the two semitones: E–F (mi–fa) and B–C (ti–do). Below, show the I chord with C highlighted, the IV chord with C highlighted (as fifth of F–A–C), and the V chord with C absent (G–B–D). Caption: 'The tonic note C: always present in IV, always absent from V.'</w:t>
            </w:r>
          </w:p>
          <w:p>
            <w:pPr>
              <w:spacing w:after="0"/>
            </w:pPr>
            <w:r>
              <w:rPr>
                <w:rFonts w:ascii="Gill Sans" w:cs="Gill Sans" w:eastAsia="Gill Sans" w:hAnsi="Gill Sans"/>
                <w:color w:val="777777"/>
                <w:sz w:val="19"/>
                <w:szCs w:val="19"/>
              </w:rPr>
              <w:t xml:space="preserve">Clean staff notation, Roman numerals below, tonic note highlighted in a distinct colour.</w:t>
            </w:r>
          </w:p>
        </w:tc>
      </w:tr>
    </w:tbl>
    <w:p>
      <w:pPr>
        <w:pStyle w:val="Normal"/>
        <w:spacing w:after="60"/>
      </w:pPr>
      <w:r>
        <w:t xml:space="preserve"/>
      </w:r>
    </w:p>
    <w:p>
      <w:pPr>
        <w:pStyle w:val="Normal"/>
      </w:pPr>
      <w:r>
        <w:rPr>
          <w:rFonts w:ascii="Gill Sans" w:cs="Gill Sans" w:eastAsia="Gill Sans" w:hAnsi="Gill Sans"/>
          <w:b w:val="false"/>
          <w:bCs w:val="false"/>
          <w:i w:val="false"/>
          <w:iCs w:val="false"/>
          <w:sz w:val="22"/>
          <w:szCs w:val="22"/>
        </w:rPr>
        <w:t xml:space="preserve">When tonic moves to dominant — the I→V motion — the music crosses the B–C (ti–do) hinge. Look at what happens to the tonic pitch: C disappears entirely from the dominant chord. G major is G–B–D. There is no C. This is the mechanism of authentic cadence tension — the tonic note, home itself, is the thing that is gone. Its absence is the longing. Its return is the resolution.</w:t>
      </w:r>
    </w:p>
    <w:p>
      <w:pPr>
        <w:pStyle w:val="Normal"/>
      </w:pPr>
      <w:r>
        <w:rPr>
          <w:rFonts w:ascii="Gill Sans" w:cs="Gill Sans" w:eastAsia="Gill Sans" w:hAnsi="Gill Sans"/>
          <w:b w:val="false"/>
          <w:bCs w:val="false"/>
          <w:i w:val="false"/>
          <w:iCs w:val="false"/>
          <w:sz w:val="22"/>
          <w:szCs w:val="22"/>
        </w:rPr>
        <w:t xml:space="preserve">To feel V→I as a resolution, the home note must first be absent.</w:t>
      </w:r>
    </w:p>
    <w:p>
      <w:pPr>
        <w:pStyle w:val="Normal"/>
      </w:pPr>
      <w:r>
        <w:rPr>
          <w:rFonts w:ascii="Gill Sans" w:cs="Gill Sans" w:eastAsia="Gill Sans" w:hAnsi="Gill Sans"/>
          <w:b w:val="false"/>
          <w:bCs w:val="false"/>
          <w:i w:val="false"/>
          <w:iCs w:val="false"/>
          <w:sz w:val="22"/>
          <w:szCs w:val="22"/>
        </w:rPr>
        <w:t xml:space="preserve">When tonic moves to subdominant — the I→IV motion — the music crosses the E–F (mi–fa) hinge. C is present in the subdominant chord. F major is F–A–C. C is the fifth. The only motion is the third scale degree stepping one semitone up to the fourth — mi rising to fa — and then gently back. The tonic plane is unbroken. You moved, but you never left.</w:t>
      </w:r>
    </w:p>
    <w:p>
      <w:pPr>
        <w:pStyle w:val="Normal"/>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20"/>
              <w:left w:type="dxa" w:w="160"/>
              <w:bottom w:type="dxa" w:w="120"/>
              <w:right w:type="dxa" w:w="160"/>
            </w:tcMar>
          </w:tcPr>
          <w:p>
            <w:pPr>
              <w:spacing w:after="60"/>
            </w:pPr>
            <w:r>
              <w:rPr>
                <w:rFonts w:ascii="Gill Sans" w:cs="Gill Sans" w:eastAsia="Gill Sans" w:hAnsi="Gill Sans"/>
                <w:b/>
                <w:bCs/>
                <w:color w:val="555555"/>
                <w:sz w:val="20"/>
                <w:szCs w:val="20"/>
              </w:rPr>
              <w:t xml:space="preserve">🎹  AUDIO — The Two Hinges</w:t>
            </w:r>
          </w:p>
          <w:p>
            <w:pPr>
              <w:spacing w:after="40"/>
            </w:pPr>
            <w:r>
              <w:rPr>
                <w:rFonts w:ascii="Gill Sans" w:cs="Gill Sans" w:eastAsia="Gill Sans" w:hAnsi="Gill Sans"/>
                <w:i/>
                <w:iCs/>
                <w:sz w:val="20"/>
                <w:szCs w:val="20"/>
              </w:rPr>
              <w:t xml:space="preserve">Doug plays the two motions slowly on piano, pausing on each chord: (1) C major → G major (the C disappears — notice it); (2) C major → F major (the C stays — notice it). Then plays both as cadences: V→I (authentic) and IV→I (plagal).</w:t>
            </w:r>
          </w:p>
          <w:p>
            <w:pPr>
              <w:spacing w:after="0"/>
            </w:pPr>
            <w:r>
              <w:rPr>
                <w:rFonts w:ascii="Gill Sans" w:cs="Gill Sans" w:eastAsia="Gill Sans" w:hAnsi="Gill Sans"/>
                <w:color w:val="777777"/>
                <w:sz w:val="19"/>
                <w:szCs w:val="19"/>
              </w:rPr>
              <w:t xml:space="preserve">Recording: ~60 seconds. Slow and deliberate. This is the acoustic proof — give it space.</w:t>
            </w:r>
          </w:p>
        </w:tc>
      </w:tr>
    </w:tbl>
    <w:p>
      <w:pPr>
        <w:pStyle w:val="Normal"/>
        <w:spacing w:after="60"/>
      </w:pPr>
      <w:r>
        <w:t xml:space="preserve"/>
      </w:r>
    </w:p>
    <w:p>
      <w:pPr>
        <w:spacing w:after="60" w:before="60"/>
        <w:ind w:left="720"/>
      </w:pPr>
      <w:r>
        <w:rPr>
          <w:rFonts w:ascii="Gill Sans" w:cs="Gill Sans" w:eastAsia="Gill Sans" w:hAnsi="Gill Sans"/>
          <w:i/>
          <w:iCs/>
          <w:sz w:val="22"/>
          <w:szCs w:val="22"/>
        </w:rPr>
        <w:t xml:space="preserve">"Having never lost the feeling of home. Oh, Auntie Em — there's no place like home."</w:t>
      </w:r>
    </w:p>
    <w:p>
      <w:pPr>
        <w:pStyle w:val="Normal"/>
      </w:pPr>
      <w:r>
        <w:rPr>
          <w:rFonts w:ascii="Gill Sans" w:cs="Gill Sans" w:eastAsia="Gill Sans" w:hAnsi="Gill Sans"/>
          <w:b w:val="false"/>
          <w:bCs w:val="false"/>
          <w:i w:val="false"/>
          <w:iCs w:val="false"/>
          <w:sz w:val="22"/>
          <w:szCs w:val="22"/>
        </w:rPr>
        <w:t xml:space="preserve">These are not two styles of the same thing. They are structural opposites, hinged on the two semitones of the major scale, facing in opposite directions, doing opposite things with the most fundamental pitch in the key. The dominant is a creditor calling in a debt. The subdominant is a grandmother opening her arms.</w:t>
      </w:r>
    </w:p>
    <w:p>
      <w:pPr>
        <w:pStyle w:val="Heading2"/>
      </w:pPr>
      <w:r>
        <w:rPr>
          <w:rFonts w:ascii="Futura Condensed ExtraBold" w:cs="Futura Condensed ExtraBold" w:eastAsia="Futura Condensed ExtraBold" w:hAnsi="Futura Condensed ExtraBold"/>
          <w:b w:val="false"/>
          <w:bCs w:val="false"/>
          <w:sz w:val="32"/>
          <w:szCs w:val="32"/>
        </w:rPr>
        <w:t xml:space="preserve">The Evidence</w:t>
      </w:r>
    </w:p>
    <w:p>
      <w:pPr>
        <w:pStyle w:val="Normal"/>
      </w:pPr>
      <w:r>
        <w:rPr>
          <w:rFonts w:ascii="Gill Sans" w:cs="Gill Sans" w:eastAsia="Gill Sans" w:hAnsi="Gill Sans"/>
          <w:b w:val="false"/>
          <w:bCs w:val="false"/>
          <w:i w:val="false"/>
          <w:iCs w:val="false"/>
          <w:sz w:val="22"/>
          <w:szCs w:val="22"/>
        </w:rPr>
        <w:t xml:space="preserve">The acoustic proof is the strongest argument. But the evidence doesn't stop there.</w:t>
      </w:r>
    </w:p>
    <w:p>
      <w:pPr>
        <w:pStyle w:val="Normal"/>
      </w:pPr>
      <w:r>
        <w:rPr>
          <w:rFonts w:ascii="Gill Sans" w:cs="Gill Sans" w:eastAsia="Gill Sans" w:hAnsi="Gill Sans"/>
          <w:b w:val="false"/>
          <w:bCs w:val="false"/>
          <w:i w:val="false"/>
          <w:iCs w:val="false"/>
          <w:sz w:val="22"/>
          <w:szCs w:val="22"/>
        </w:rPr>
        <w:t xml:space="preserve">Consider Johann Sebastian Bach. His fugues, when returning to the home key after a developmental passage, will often briefly touch the subdominant before settling back to the tonic — never the dominant. To move toward V during a recapitulation would be to climb a hill when you are trying to come home. The subdominant is the safe neighbourhood: easy, light, compatible with a tonic pedal underneath. Bach visited it often.</w:t>
      </w:r>
    </w:p>
    <w:p>
      <w:pPr>
        <w:pStyle w:val="Normal"/>
      </w:pPr>
      <w:r>
        <w:rPr>
          <w:rFonts w:ascii="Gill Sans" w:cs="Gill Sans" w:eastAsia="Gill Sans" w:hAnsi="Gill Sans"/>
          <w:b w:val="false"/>
          <w:bCs w:val="false"/>
          <w:i w:val="false"/>
          <w:iCs w:val="false"/>
          <w:sz w:val="22"/>
          <w:szCs w:val="22"/>
        </w:rPr>
        <w:t xml:space="preserve">Consider the corpus. A computational analysis of over a thousand popular songs shows that pop music tonicizes the subdominant more than three times as often as it tonicizes the dominant — a ratio of 3.3 to 1. The data confirms what the ear already knows.</w:t>
      </w:r>
    </w:p>
    <w:p>
      <w:pPr>
        <w:pStyle w:val="Normal"/>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20"/>
              <w:left w:type="dxa" w:w="160"/>
              <w:bottom w:type="dxa" w:w="120"/>
              <w:right w:type="dxa" w:w="160"/>
            </w:tcMar>
          </w:tcPr>
          <w:p>
            <w:pPr>
              <w:spacing w:after="60"/>
            </w:pPr>
            <w:r>
              <w:rPr>
                <w:rFonts w:ascii="Gill Sans" w:cs="Gill Sans" w:eastAsia="Gill Sans" w:hAnsi="Gill Sans"/>
                <w:b/>
                <w:bCs/>
                <w:color w:val="555555"/>
                <w:sz w:val="20"/>
                <w:szCs w:val="20"/>
              </w:rPr>
              <w:t xml:space="preserve">🖼  GRAPHIC — The 3.3:1 Ratio</w:t>
            </w:r>
          </w:p>
          <w:p>
            <w:pPr>
              <w:spacing w:after="40"/>
            </w:pPr>
            <w:r>
              <w:rPr>
                <w:rFonts w:ascii="Gill Sans" w:cs="Gill Sans" w:eastAsia="Gill Sans" w:hAnsi="Gill Sans"/>
                <w:i/>
                <w:iCs/>
                <w:sz w:val="20"/>
                <w:szCs w:val="20"/>
              </w:rPr>
              <w:t xml:space="preserve">A simple horizontal bar chart: 'Secondary dominants pointing to IV' (long bar) vs. 'Secondary dominants pointing to V' (short bar, roughly a third as long). Labelled: 'From a corpus of 1,000+ popular songs.' Clean, minimal, striking.</w:t>
            </w:r>
          </w:p>
          <w:p>
            <w:pPr>
              <w:spacing w:after="0"/>
            </w:pPr>
            <w:r>
              <w:rPr>
                <w:rFonts w:ascii="Gill Sans" w:cs="Gill Sans" w:eastAsia="Gill Sans" w:hAnsi="Gill Sans"/>
                <w:color w:val="777777"/>
                <w:sz w:val="19"/>
                <w:szCs w:val="19"/>
              </w:rPr>
              <w:t xml:space="preserve">This single graphic should make the argument viscerally — the visual imbalance says everything.</w:t>
            </w:r>
          </w:p>
        </w:tc>
      </w:tr>
    </w:tbl>
    <w:p>
      <w:pPr>
        <w:pStyle w:val="Normal"/>
        <w:spacing w:after="60"/>
      </w:pPr>
      <w:r>
        <w:t xml:space="preserve"/>
      </w:r>
    </w:p>
    <w:p>
      <w:pPr>
        <w:pStyle w:val="Normal"/>
      </w:pPr>
      <w:r>
        <w:rPr>
          <w:rFonts w:ascii="Gill Sans" w:cs="Gill Sans" w:eastAsia="Gill Sans" w:hAnsi="Gill Sans"/>
          <w:b w:val="false"/>
          <w:bCs w:val="false"/>
          <w:i w:val="false"/>
          <w:iCs w:val="false"/>
          <w:sz w:val="22"/>
          <w:szCs w:val="22"/>
        </w:rPr>
        <w:t xml:space="preserve">And consider how old this tendency is.</w:t>
      </w:r>
    </w:p>
    <w:p>
      <w:pPr>
        <w:pStyle w:val="Normal"/>
      </w:pPr>
      <w:r>
        <w:rPr>
          <w:rFonts w:ascii="Gill Sans" w:cs="Gill Sans" w:eastAsia="Gill Sans" w:hAnsi="Gill Sans"/>
          <w:b w:val="false"/>
          <w:bCs w:val="false"/>
          <w:i w:val="false"/>
          <w:iCs w:val="false"/>
          <w:sz w:val="22"/>
          <w:szCs w:val="22"/>
        </w:rPr>
        <w:t xml:space="preserve">The Amen cadence — IV→I — has been the cadence of sacred closure for centuries. Gregorian chant. Hymns. Prayers. Folk songs across cultures, from Scotland to Scandinavia to the American South, have always gravitated toward the warm, home-side chord. The plagal tendency in music is not a modern development. It is not a product of any particular era or tradition. It is ancient. It may be as old as music itself.</w:t>
      </w:r>
    </w:p>
    <w:p>
      <w:pPr>
        <w:pStyle w:val="Normal"/>
      </w:pPr>
      <w:r>
        <w:rPr>
          <w:rFonts w:ascii="Gill Sans" w:cs="Gill Sans" w:eastAsia="Gill Sans" w:hAnsi="Gill Sans"/>
          <w:b w:val="false"/>
          <w:bCs w:val="false"/>
          <w:i w:val="false"/>
          <w:iCs w:val="false"/>
          <w:sz w:val="22"/>
          <w:szCs w:val="22"/>
        </w:rPr>
        <w:t xml:space="preserve">Folk music has always lived on the plagal side of life. The question was never whether the plagal grammar existed — it always did. The question was whether we had a name for it, and whether the theory curriculum was willing to treat it as something more than an afterthought.</w:t>
      </w:r>
    </w:p>
    <w:p>
      <w:pPr>
        <w:pStyle w:val="Normal"/>
        <w:spacing w:after="60"/>
      </w:pPr>
      <w:r>
        <w:t xml:space="preserve"/>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6900"/>
      </w:tblGrid>
      <w:tr>
        <w:tc>
          <w:tcPr>
            <w:tcW w:type="dxa" w:w="6900"/>
            <w:tcBorders>
              <w:top w:val="none" w:sz="0"/>
              <w:left w:val="single" w:color="E67E22" w:sz="76"/>
              <w:bottom w:val="none" w:sz="0"/>
              <w:right w:val="none" w:sz="0"/>
            </w:tcBorders>
            <w:tcMar>
              <w:top w:type="dxa" w:w="160"/>
              <w:left w:type="dxa" w:w="240"/>
              <w:bottom w:type="dxa" w:w="160"/>
              <w:right w:type="dxa" w:w="120"/>
            </w:tcMar>
          </w:tcPr>
          <w:p>
            <w:pPr>
              <w:spacing w:after="60"/>
            </w:pPr>
            <w:r>
              <w:rPr>
                <w:rFonts w:ascii="Gill Sans" w:cs="Gill Sans" w:eastAsia="Gill Sans" w:hAnsi="Gill Sans"/>
                <w:b/>
                <w:bCs/>
                <w:sz w:val="22"/>
                <w:szCs w:val="22"/>
              </w:rPr>
              <w:t xml:space="preserve">A Note on the Blues IV7</w:t>
            </w:r>
          </w:p>
          <w:p>
            <w:pPr>
              <w:spacing w:after="40" w:line="240"/>
            </w:pPr>
            <w:r>
              <w:rPr>
                <w:rFonts w:ascii="Gill Sans" w:cs="Gill Sans" w:eastAsia="Gill Sans" w:hAnsi="Gill Sans"/>
                <w:sz w:val="20"/>
                <w:szCs w:val="20"/>
              </w:rPr>
              <w:t xml:space="preserve">The blues uses a subdominant chord with an added minor seventh — the IV7 (e.g., F7 in C major). This is a distinct harmonic colour: a blues import, and when you hear it in pop music, you recognise it as such. The IV7 has its own demand character — it is more restless than the pure IV, sitting at a different point on the harmonic spectrum.</w:t>
            </w:r>
          </w:p>
          <w:p>
            <w:pPr>
              <w:spacing w:after="40" w:line="240"/>
            </w:pPr>
            <w:r>
              <w:rPr>
                <w:rFonts w:ascii="Gill Sans" w:cs="Gill Sans" w:eastAsia="Gill Sans" w:hAnsi="Gill Sans"/>
                <w:sz w:val="20"/>
                <w:szCs w:val="20"/>
              </w:rPr>
              <w:t xml:space="preserve">The warm, home-feeling IV of the Plagal Paradigm and the urgent IV7 of the blues are related but not the same chord. One is the grandmother's arms. The other has somewhere it wants to go.</w:t>
            </w:r>
          </w:p>
        </w:tc>
      </w:tr>
    </w:tbl>
    <w:p>
      <w:pPr>
        <w:pStyle w:val="Normal"/>
        <w:spacing w:after="60"/>
      </w:pPr>
      <w:r>
        <w:t xml:space="preserve"/>
      </w:r>
    </w:p>
    <w:p>
      <w:pPr>
        <w:pStyle w:val="Heading2"/>
      </w:pPr>
      <w:r>
        <w:rPr>
          <w:rFonts w:ascii="Futura Condensed ExtraBold" w:cs="Futura Condensed ExtraBold" w:eastAsia="Futura Condensed ExtraBold" w:hAnsi="Futura Condensed ExtraBold"/>
          <w:b w:val="false"/>
          <w:bCs w:val="false"/>
          <w:sz w:val="32"/>
          <w:szCs w:val="32"/>
        </w:rPr>
        <w:t xml:space="preserve">What Shifted, and Why It Matters</w:t>
      </w:r>
    </w:p>
    <w:p>
      <w:pPr>
        <w:pStyle w:val="Normal"/>
      </w:pPr>
      <w:r>
        <w:rPr>
          <w:rFonts w:ascii="Gill Sans" w:cs="Gill Sans" w:eastAsia="Gill Sans" w:hAnsi="Gill Sans"/>
          <w:b w:val="false"/>
          <w:bCs w:val="false"/>
          <w:i w:val="false"/>
          <w:iCs w:val="false"/>
          <w:sz w:val="22"/>
          <w:szCs w:val="22"/>
        </w:rPr>
        <w:t xml:space="preserve">The classical harmonic grammar was built around dominant-resolution syntax: V creates tension; I resolves it. That grammar is real, it works, and we still understand it. A well-placed perfect authentic cadence still does exactly what it has always done.</w:t>
      </w:r>
    </w:p>
    <w:p>
      <w:pPr>
        <w:pStyle w:val="Normal"/>
      </w:pPr>
      <w:r>
        <w:rPr>
          <w:rFonts w:ascii="Gill Sans" w:cs="Gill Sans" w:eastAsia="Gill Sans" w:hAnsi="Gill Sans"/>
          <w:b w:val="false"/>
          <w:bCs w:val="false"/>
          <w:i w:val="false"/>
          <w:iCs w:val="false"/>
          <w:sz w:val="22"/>
          <w:szCs w:val="22"/>
        </w:rPr>
        <w:t xml:space="preserve">But it is not the only grammar. As the classical system's strict obligations relaxed over the last century, the subdominant — which had always been there, always been felt, always been hummed — became visible as a structural force in its own right. Not a replacement for the dominant. Not a simplification. Its complement. The yin to the dominant's yang.</w:t>
      </w:r>
    </w:p>
    <w:p>
      <w:pPr>
        <w:pStyle w:val="Normal"/>
      </w:pPr>
      <w:r>
        <w:rPr>
          <w:rFonts w:ascii="Gill Sans" w:cs="Gill Sans" w:eastAsia="Gill Sans" w:hAnsi="Gill Sans"/>
          <w:b w:val="false"/>
          <w:bCs w:val="false"/>
          <w:i w:val="false"/>
          <w:iCs w:val="false"/>
          <w:sz w:val="22"/>
          <w:szCs w:val="22"/>
        </w:rPr>
        <w:t xml:space="preserve">One persuades. The other commands. Neither is better. Both are necessary.</w:t>
      </w:r>
    </w:p>
    <w:p>
      <w:pPr>
        <w:pStyle w:val="Normal"/>
      </w:pPr>
      <w:r>
        <w:rPr>
          <w:rFonts w:ascii="Gill Sans" w:cs="Gill Sans" w:eastAsia="Gill Sans" w:hAnsi="Gill Sans"/>
          <w:b w:val="false"/>
          <w:bCs w:val="false"/>
          <w:i w:val="false"/>
          <w:iCs w:val="false"/>
          <w:sz w:val="22"/>
          <w:szCs w:val="22"/>
        </w:rPr>
        <w:t xml:space="preserve">In Part Three, we give it a name — and return to that song you've been singing at midnight.</w:t>
      </w:r>
    </w:p>
    <w:p>
      <w:pPr>
        <w:pStyle w:val="Normal"/>
        <w:pBdr>
          <w:bottom w:val="single" w:color="CCCCCC" w:sz="4" w:space="6"/>
        </w:pBdr>
        <w:spacing w:after="240"/>
      </w:pPr>
      <w:r>
        <w:t xml:space="preserve"/>
      </w:r>
    </w:p>
    <w:p>
      <w:pPr>
        <w:pStyle w:val="Normal"/>
        <w:spacing w:after="40"/>
      </w:pPr>
      <w:r>
        <w:rPr>
          <w:rFonts w:ascii="Gill Sans" w:cs="Gill Sans" w:eastAsia="Gill Sans" w:hAnsi="Gill Sans"/>
          <w:i/>
          <w:iCs/>
          <w:sz w:val="20"/>
          <w:szCs w:val="20"/>
        </w:rPr>
        <w:t xml:space="preserve">Doug Smith</w:t>
      </w:r>
    </w:p>
    <w:p>
      <w:pPr>
        <w:pStyle w:val="Normal"/>
        <w:spacing w:after="40"/>
      </w:pPr>
      <w:r>
        <w:rPr>
          <w:rFonts w:ascii="Gill Sans" w:cs="Gill Sans" w:eastAsia="Gill Sans" w:hAnsi="Gill Sans"/>
          <w:i/>
          <w:iCs/>
          <w:sz w:val="20"/>
          <w:szCs w:val="20"/>
        </w:rPr>
        <w:t xml:space="preserve">The Plagal Paradigm is a three-part series. Part Three: A Place of Honour.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ill Sans" w:cs="Gill Sans" w:eastAsia="Gill Sans" w:hAnsi="Gill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120" w:line="360"/>
    </w:pPr>
    <w:rPr>
      <w:rFonts w:ascii="Gill Sans" w:cs="Gill Sans" w:eastAsia="Gill Sans" w:hAnsi="Gill Sans"/>
      <w:sz w:val="22"/>
      <w:szCs w:val="22"/>
    </w:rPr>
  </w:style>
  <w:style w:type="paragraph" w:styleId="Heading1">
    <w:name w:val="Heading 1"/>
    <w:basedOn w:val="Normal"/>
    <w:next w:val="Normal"/>
    <w:qFormat/>
    <w:pPr>
      <w:spacing w:after="360" w:before="0"/>
      <w:outlineLvl w:val="0"/>
    </w:pPr>
    <w:rPr>
      <w:rFonts w:ascii="Futura Condensed ExtraBold" w:cs="Futura Condensed ExtraBold" w:eastAsia="Futura Condensed ExtraBold" w:hAnsi="Futura Condensed ExtraBold"/>
      <w:b w:val="false"/>
      <w:bCs w:val="false"/>
      <w:sz w:val="40"/>
      <w:szCs w:val="40"/>
    </w:rPr>
  </w:style>
  <w:style w:type="paragraph" w:styleId="Heading2">
    <w:name w:val="Heading 2"/>
    <w:basedOn w:val="Normal"/>
    <w:next w:val="Normal"/>
    <w:qFormat/>
    <w:pPr>
      <w:spacing w:after="240" w:before="480"/>
      <w:outlineLvl w:val="1"/>
    </w:pPr>
    <w:rPr>
      <w:rFonts w:ascii="Futura Condensed ExtraBold" w:cs="Futura Condensed ExtraBold" w:eastAsia="Futura Condensed ExtraBold" w:hAnsi="Futura Condensed ExtraBold"/>
      <w:b w:val="false"/>
      <w:bCs w:val="false"/>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2026-04-17T08:28:36.847Z</dcterms:created>
  <dcterms:modified xsi:type="dcterms:W3CDTF">2026-04-17T08:28:36.847Z</dcterms:modified>
</cp:coreProperties>
</file>

<file path=docProps/custom.xml><?xml version="1.0" encoding="utf-8"?>
<Properties xmlns="http://schemas.openxmlformats.org/officeDocument/2006/custom-properties" xmlns:vt="http://schemas.openxmlformats.org/officeDocument/2006/docPropsVTypes"/>
</file>